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C098A" w14:textId="186B85E4" w:rsidR="00163220" w:rsidRDefault="00163220" w:rsidP="00163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 xml:space="preserve">3GPP TSG-RAN WG4 Meeting #90bis </w:t>
      </w:r>
      <w:r>
        <w:rPr>
          <w:b/>
          <w:i/>
          <w:noProof/>
          <w:sz w:val="28"/>
        </w:rPr>
        <w:tab/>
        <w:t>R4-</w:t>
      </w:r>
      <w:r w:rsidR="005D1BBE" w:rsidRPr="005D1BBE">
        <w:rPr>
          <w:b/>
          <w:i/>
          <w:noProof/>
          <w:sz w:val="28"/>
        </w:rPr>
        <w:t>1904057</w:t>
      </w:r>
    </w:p>
    <w:p w14:paraId="4AC6F176" w14:textId="77777777" w:rsidR="00163220" w:rsidRDefault="00163220" w:rsidP="00163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China, 8 – 12 April, 2019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7033D7B9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D36E7" w:rsidRPr="009D36E7">
        <w:rPr>
          <w:rFonts w:ascii="Arial" w:hAnsi="Arial" w:cs="Arial"/>
          <w:lang w:val="en-US"/>
        </w:rPr>
        <w:t>Implementing Spurious emission Category B in FR2</w:t>
      </w:r>
    </w:p>
    <w:p w14:paraId="16D01D72" w14:textId="53F4DD8D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7F5C50">
        <w:rPr>
          <w:rFonts w:ascii="Arial" w:hAnsi="Arial" w:cs="Arial"/>
          <w:lang w:val="en-US"/>
        </w:rPr>
        <w:t>6.</w:t>
      </w:r>
      <w:r w:rsidR="00E36DA5">
        <w:rPr>
          <w:rFonts w:ascii="Arial" w:hAnsi="Arial" w:cs="Arial"/>
          <w:lang w:val="en-US"/>
        </w:rPr>
        <w:t>7</w:t>
      </w:r>
      <w:r w:rsidR="007F5C50">
        <w:rPr>
          <w:rFonts w:ascii="Arial" w:hAnsi="Arial" w:cs="Arial"/>
          <w:lang w:val="en-US"/>
        </w:rPr>
        <w:t>.2.5</w:t>
      </w:r>
    </w:p>
    <w:p w14:paraId="49066BBD" w14:textId="462AFDA6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79EE1BDA" w14:textId="63495811" w:rsidR="00DC7120" w:rsidRDefault="00DC7120" w:rsidP="00DC7120">
      <w:pPr>
        <w:pStyle w:val="BodyText"/>
        <w:rPr>
          <w:lang w:val="en-US"/>
        </w:rPr>
      </w:pPr>
      <w:r>
        <w:rPr>
          <w:lang w:val="en-US"/>
        </w:rPr>
        <w:t xml:space="preserve">CEPT/ECC SE21 finalized </w:t>
      </w:r>
      <w:r w:rsidR="005D1BBE">
        <w:rPr>
          <w:lang w:val="en-US"/>
        </w:rPr>
        <w:t>an</w:t>
      </w:r>
      <w:r>
        <w:rPr>
          <w:lang w:val="en-US"/>
        </w:rPr>
        <w:t xml:space="preserve"> update </w:t>
      </w:r>
      <w:r w:rsidR="005D1BBE">
        <w:rPr>
          <w:lang w:val="en-US"/>
        </w:rPr>
        <w:t xml:space="preserve">of </w:t>
      </w:r>
      <w:r>
        <w:rPr>
          <w:lang w:val="en-US"/>
        </w:rPr>
        <w:t>the recommendation on spurious emissions in December 2018. The outcome of the process and the content of the document was summarized in [1], including an excerpt of the relevant parts of the draft revised recommendation.</w:t>
      </w:r>
      <w:r w:rsidRPr="00877DA0">
        <w:rPr>
          <w:lang w:val="en-US"/>
        </w:rPr>
        <w:t xml:space="preserve"> </w:t>
      </w:r>
      <w:r>
        <w:rPr>
          <w:lang w:val="en-US"/>
        </w:rPr>
        <w:t>After approval by ECC WG SE, it was put on public consultation for six weeks [2,3].</w:t>
      </w:r>
    </w:p>
    <w:p w14:paraId="3EAF7DFF" w14:textId="43ED2F54" w:rsidR="00DC7120" w:rsidRDefault="00DC7120" w:rsidP="00DC7120">
      <w:pPr>
        <w:pStyle w:val="BodyText"/>
        <w:rPr>
          <w:lang w:val="en-US"/>
        </w:rPr>
      </w:pPr>
      <w:r>
        <w:rPr>
          <w:lang w:val="en-US"/>
        </w:rPr>
        <w:t xml:space="preserve">This document looks at the </w:t>
      </w:r>
      <w:r w:rsidR="00812C58">
        <w:rPr>
          <w:lang w:val="en-US"/>
        </w:rPr>
        <w:t xml:space="preserve">limits put forward in the Draft recommendation [2] and makes a preliminary assessment on how they could be implemented. Draft CRs based on the preliminary assessment are </w:t>
      </w:r>
      <w:r w:rsidR="008F4026">
        <w:rPr>
          <w:lang w:val="en-US"/>
        </w:rPr>
        <w:t>presented</w:t>
      </w:r>
      <w:r w:rsidR="00812C58">
        <w:rPr>
          <w:lang w:val="en-US"/>
        </w:rPr>
        <w:t xml:space="preserve"> in [4] and [5]</w:t>
      </w:r>
      <w:r>
        <w:rPr>
          <w:lang w:val="en-US"/>
        </w:rPr>
        <w:t>.</w:t>
      </w:r>
      <w:r w:rsidR="008F4026">
        <w:rPr>
          <w:lang w:val="en-US"/>
        </w:rPr>
        <w:t xml:space="preserve"> These will have to be revised and completed at RAN4 #91 in May 2019 (see also the time plan in [1]).</w:t>
      </w:r>
    </w:p>
    <w:p w14:paraId="7D3D702B" w14:textId="77777777" w:rsidR="000B10FE" w:rsidRDefault="000B10FE" w:rsidP="00DC7120">
      <w:pPr>
        <w:pStyle w:val="BodyText"/>
        <w:rPr>
          <w:lang w:val="en-US"/>
        </w:rPr>
      </w:pPr>
    </w:p>
    <w:p w14:paraId="07FEFD85" w14:textId="2E4C7280" w:rsidR="00A81EEC" w:rsidRDefault="00A81EEC" w:rsidP="00B445A4">
      <w:pPr>
        <w:pStyle w:val="Heading1"/>
        <w:rPr>
          <w:lang w:val="en-US"/>
        </w:rPr>
      </w:pPr>
      <w:r>
        <w:rPr>
          <w:lang w:val="en-US"/>
        </w:rPr>
        <w:t>Options for implementing Category B spurious emissions</w:t>
      </w:r>
    </w:p>
    <w:p w14:paraId="45D1629B" w14:textId="7224A1FE" w:rsidR="00A81EEC" w:rsidRDefault="008353F7" w:rsidP="00A81EEC">
      <w:pPr>
        <w:pStyle w:val="BodyText"/>
        <w:rPr>
          <w:lang w:val="en-US"/>
        </w:rPr>
      </w:pPr>
      <w:r>
        <w:rPr>
          <w:lang w:val="en-US"/>
        </w:rPr>
        <w:t>There are</w:t>
      </w:r>
      <w:r w:rsidR="007E5BC4">
        <w:rPr>
          <w:lang w:val="en-US"/>
        </w:rPr>
        <w:t xml:space="preserve"> two main ways of implementing </w:t>
      </w:r>
      <w:r w:rsidR="00842FF3">
        <w:rPr>
          <w:lang w:val="en-US"/>
        </w:rPr>
        <w:t>unwanted</w:t>
      </w:r>
      <w:r w:rsidR="007E5BC4">
        <w:rPr>
          <w:lang w:val="en-US"/>
        </w:rPr>
        <w:t xml:space="preserve"> emission limits used in 3GPP specifications:</w:t>
      </w:r>
    </w:p>
    <w:p w14:paraId="7C870265" w14:textId="4359E1C1" w:rsidR="007E5BC4" w:rsidRDefault="007E5BC4" w:rsidP="007E5BC4">
      <w:pPr>
        <w:pStyle w:val="BodyText"/>
        <w:numPr>
          <w:ilvl w:val="0"/>
          <w:numId w:val="16"/>
        </w:numPr>
        <w:rPr>
          <w:lang w:val="en-US"/>
        </w:rPr>
      </w:pPr>
      <w:r w:rsidRPr="001E7DC7">
        <w:rPr>
          <w:b/>
          <w:lang w:val="en-US"/>
        </w:rPr>
        <w:t xml:space="preserve">Carrier-centric </w:t>
      </w:r>
      <w:r w:rsidR="00E960B0" w:rsidRPr="001E7DC7">
        <w:rPr>
          <w:b/>
          <w:lang w:val="en-US"/>
        </w:rPr>
        <w:t>approach – Spectrum Emissions Mask: (SEM):</w:t>
      </w:r>
      <w:r w:rsidR="00E960B0" w:rsidRPr="001E7DC7">
        <w:rPr>
          <w:b/>
          <w:lang w:val="en-US"/>
        </w:rPr>
        <w:br/>
      </w:r>
      <w:r w:rsidR="00E960B0">
        <w:rPr>
          <w:lang w:val="en-US"/>
        </w:rPr>
        <w:t xml:space="preserve">This is used in all UE specifications </w:t>
      </w:r>
      <w:proofErr w:type="gramStart"/>
      <w:r w:rsidR="00E960B0">
        <w:rPr>
          <w:lang w:val="en-US"/>
        </w:rPr>
        <w:t>and also</w:t>
      </w:r>
      <w:proofErr w:type="gramEnd"/>
      <w:r w:rsidR="00E960B0">
        <w:rPr>
          <w:lang w:val="en-US"/>
        </w:rPr>
        <w:t xml:space="preserve"> for the UMTS</w:t>
      </w:r>
      <w:r w:rsidR="001E7DC7">
        <w:rPr>
          <w:lang w:val="en-US"/>
        </w:rPr>
        <w:t xml:space="preserve"> BS mask in 25-series </w:t>
      </w:r>
      <w:r w:rsidR="00B240BA">
        <w:rPr>
          <w:lang w:val="en-US"/>
        </w:rPr>
        <w:t>specifications</w:t>
      </w:r>
      <w:r w:rsidR="001E7DC7">
        <w:rPr>
          <w:lang w:val="en-US"/>
        </w:rPr>
        <w:t>.</w:t>
      </w:r>
    </w:p>
    <w:p w14:paraId="6A271FB2" w14:textId="024FCD24" w:rsidR="001E7DC7" w:rsidRPr="003C5F90" w:rsidRDefault="001E7DC7" w:rsidP="007E5BC4">
      <w:pPr>
        <w:pStyle w:val="BodyText"/>
        <w:numPr>
          <w:ilvl w:val="0"/>
          <w:numId w:val="16"/>
        </w:numPr>
        <w:rPr>
          <w:lang w:val="en-US"/>
        </w:rPr>
      </w:pPr>
      <w:r w:rsidRPr="001E7DC7">
        <w:rPr>
          <w:b/>
          <w:lang w:val="en-US"/>
        </w:rPr>
        <w:t>Band-centric approach – Operating Band Unwanted Emissions mask (OBUE):</w:t>
      </w:r>
      <w:r w:rsidRPr="001E7DC7">
        <w:rPr>
          <w:b/>
          <w:lang w:val="en-US"/>
        </w:rPr>
        <w:br/>
      </w:r>
      <w:r w:rsidR="003C5F90" w:rsidRPr="003C5F90">
        <w:rPr>
          <w:lang w:val="en-US"/>
        </w:rPr>
        <w:t>This is used in LTE</w:t>
      </w:r>
      <w:r w:rsidR="003C5F90">
        <w:rPr>
          <w:lang w:val="en-US"/>
        </w:rPr>
        <w:t xml:space="preserve"> and MSR BS </w:t>
      </w:r>
      <w:r w:rsidR="006E5BF2">
        <w:rPr>
          <w:lang w:val="en-US"/>
        </w:rPr>
        <w:t>specifications</w:t>
      </w:r>
      <w:r w:rsidR="003C5F90">
        <w:rPr>
          <w:lang w:val="en-US"/>
        </w:rPr>
        <w:t xml:space="preserve"> and </w:t>
      </w:r>
      <w:r w:rsidR="006E5BF2">
        <w:rPr>
          <w:lang w:val="en-US"/>
        </w:rPr>
        <w:t>presently</w:t>
      </w:r>
      <w:r w:rsidR="003C5F90">
        <w:rPr>
          <w:lang w:val="en-US"/>
        </w:rPr>
        <w:t xml:space="preserve"> also for NR BS </w:t>
      </w:r>
      <w:r w:rsidR="002453CB">
        <w:rPr>
          <w:lang w:val="en-US"/>
        </w:rPr>
        <w:t xml:space="preserve">limits </w:t>
      </w:r>
      <w:r w:rsidR="003C5F90">
        <w:rPr>
          <w:lang w:val="en-US"/>
        </w:rPr>
        <w:t xml:space="preserve">in FR1 and for the existing </w:t>
      </w:r>
      <w:r w:rsidR="006E5BF2">
        <w:rPr>
          <w:lang w:val="en-US"/>
        </w:rPr>
        <w:t>(</w:t>
      </w:r>
      <w:r w:rsidR="003C5F90">
        <w:rPr>
          <w:lang w:val="en-US"/>
        </w:rPr>
        <w:t>Category A</w:t>
      </w:r>
      <w:r w:rsidR="006E5BF2">
        <w:rPr>
          <w:lang w:val="en-US"/>
        </w:rPr>
        <w:t>-based)</w:t>
      </w:r>
      <w:r w:rsidR="003C5F90">
        <w:rPr>
          <w:lang w:val="en-US"/>
        </w:rPr>
        <w:t xml:space="preserve"> limits for FR2</w:t>
      </w:r>
      <w:r w:rsidR="006E5BF2">
        <w:rPr>
          <w:lang w:val="en-US"/>
        </w:rPr>
        <w:t>.</w:t>
      </w:r>
      <w:r w:rsidR="00842FF3">
        <w:rPr>
          <w:lang w:val="en-US"/>
        </w:rPr>
        <w:t xml:space="preserve"> The OBUE limits partly cover also the spurious domain.</w:t>
      </w:r>
    </w:p>
    <w:p w14:paraId="41A30E55" w14:textId="75DEACA2" w:rsidR="00621A69" w:rsidRDefault="0054079D" w:rsidP="00A81EEC">
      <w:pPr>
        <w:pStyle w:val="BodyText"/>
        <w:rPr>
          <w:lang w:val="en-US"/>
        </w:rPr>
      </w:pPr>
      <w:r>
        <w:rPr>
          <w:lang w:val="en-US"/>
        </w:rPr>
        <w:t xml:space="preserve">While the limits in ERC recommendation 74-01 are fundamentally carrier-centric, </w:t>
      </w:r>
      <w:r w:rsidR="00225AF7">
        <w:rPr>
          <w:lang w:val="en-US"/>
        </w:rPr>
        <w:t xml:space="preserve">it has been agreed </w:t>
      </w:r>
      <w:r w:rsidR="00DA1383">
        <w:rPr>
          <w:lang w:val="en-US"/>
        </w:rPr>
        <w:t>between the</w:t>
      </w:r>
      <w:r w:rsidR="00225AF7">
        <w:rPr>
          <w:lang w:val="en-US"/>
        </w:rPr>
        <w:t xml:space="preserve"> ECC and ETSI/3GPP that a band-centric approach can be used for BS specs. </w:t>
      </w:r>
      <w:r w:rsidR="00B240BA">
        <w:rPr>
          <w:lang w:val="en-US"/>
        </w:rPr>
        <w:t>The Draf</w:t>
      </w:r>
      <w:r w:rsidR="00225AF7">
        <w:rPr>
          <w:lang w:val="en-US"/>
        </w:rPr>
        <w:t xml:space="preserve">t updated </w:t>
      </w:r>
      <w:r w:rsidR="00B240BA">
        <w:rPr>
          <w:lang w:val="en-US"/>
        </w:rPr>
        <w:t xml:space="preserve">recommendation </w:t>
      </w:r>
      <w:r w:rsidR="00225AF7">
        <w:rPr>
          <w:lang w:val="en-US"/>
        </w:rPr>
        <w:t>[2]</w:t>
      </w:r>
      <w:r w:rsidR="007A24F4">
        <w:rPr>
          <w:lang w:val="en-US"/>
        </w:rPr>
        <w:t xml:space="preserve"> also has new text explaining the band-centric approach and even a band-centric “mask” that is applicable for AAS BS</w:t>
      </w:r>
      <w:r w:rsidR="00284566">
        <w:rPr>
          <w:lang w:val="en-US"/>
        </w:rPr>
        <w:t xml:space="preserve"> operating above 24.25 GHz</w:t>
      </w:r>
      <w:r w:rsidR="00685358">
        <w:rPr>
          <w:lang w:val="en-US"/>
        </w:rPr>
        <w:t>, see Figure 1</w:t>
      </w:r>
      <w:r w:rsidR="00284566">
        <w:rPr>
          <w:lang w:val="en-US"/>
        </w:rPr>
        <w:t>.</w:t>
      </w:r>
    </w:p>
    <w:p w14:paraId="13C2FD3D" w14:textId="7EB010DB" w:rsidR="00A81EEC" w:rsidRPr="00A81EEC" w:rsidRDefault="00621A69" w:rsidP="00D740B1">
      <w:pPr>
        <w:pStyle w:val="BodyText"/>
        <w:ind w:left="1843" w:hanging="1417"/>
        <w:rPr>
          <w:lang w:val="en-US"/>
        </w:rPr>
      </w:pPr>
      <w:r w:rsidRPr="001B44C4">
        <w:rPr>
          <w:b/>
          <w:lang w:val="en-US"/>
        </w:rPr>
        <w:t>Observation 1:</w:t>
      </w:r>
      <w:r w:rsidR="00D740B1">
        <w:rPr>
          <w:lang w:val="en-US"/>
        </w:rPr>
        <w:tab/>
      </w:r>
      <w:r w:rsidR="000722AA">
        <w:rPr>
          <w:lang w:val="en-US"/>
        </w:rPr>
        <w:t>A band centric approach for unwanted emissions</w:t>
      </w:r>
      <w:r w:rsidR="00B240BA">
        <w:rPr>
          <w:lang w:val="en-US"/>
        </w:rPr>
        <w:t xml:space="preserve"> </w:t>
      </w:r>
      <w:r w:rsidR="000722AA">
        <w:rPr>
          <w:lang w:val="en-US"/>
        </w:rPr>
        <w:t xml:space="preserve">aligns with </w:t>
      </w:r>
      <w:r w:rsidR="00D740B1">
        <w:rPr>
          <w:lang w:val="en-US"/>
        </w:rPr>
        <w:t xml:space="preserve">existing </w:t>
      </w:r>
      <w:r w:rsidR="000722AA">
        <w:rPr>
          <w:lang w:val="en-US"/>
        </w:rPr>
        <w:t xml:space="preserve">BS specs, </w:t>
      </w:r>
      <w:r w:rsidR="00D740B1">
        <w:rPr>
          <w:lang w:val="en-US"/>
        </w:rPr>
        <w:t xml:space="preserve">previous </w:t>
      </w:r>
      <w:r w:rsidR="000722AA">
        <w:rPr>
          <w:lang w:val="en-US"/>
        </w:rPr>
        <w:t xml:space="preserve">3GPP agreements </w:t>
      </w:r>
      <w:proofErr w:type="gramStart"/>
      <w:r w:rsidR="000722AA">
        <w:rPr>
          <w:lang w:val="en-US"/>
        </w:rPr>
        <w:t>and also</w:t>
      </w:r>
      <w:proofErr w:type="gramEnd"/>
      <w:r w:rsidR="000722AA">
        <w:rPr>
          <w:lang w:val="en-US"/>
        </w:rPr>
        <w:t xml:space="preserve"> the </w:t>
      </w:r>
      <w:r w:rsidR="00842FF3">
        <w:rPr>
          <w:lang w:val="en-US"/>
        </w:rPr>
        <w:t>new Draft ERC recommendation 74-01.</w:t>
      </w:r>
    </w:p>
    <w:p w14:paraId="30C81094" w14:textId="7BF8A19E" w:rsidR="00D740B1" w:rsidRDefault="00982517" w:rsidP="00D740B1">
      <w:pPr>
        <w:pStyle w:val="BodyText"/>
        <w:rPr>
          <w:lang w:val="en-US"/>
        </w:rPr>
      </w:pPr>
      <w:r>
        <w:rPr>
          <w:lang w:val="en-US"/>
        </w:rPr>
        <w:t xml:space="preserve">Using a band-centric approach, the extent in frequency of the OBUE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be determined. </w:t>
      </w:r>
      <w:r w:rsidR="00852F44">
        <w:rPr>
          <w:lang w:val="en-US"/>
        </w:rPr>
        <w:t xml:space="preserve">The variable </w:t>
      </w:r>
      <w:proofErr w:type="spellStart"/>
      <w:r w:rsidR="00852F44">
        <w:rPr>
          <w:lang w:val="en-US"/>
        </w:rPr>
        <w:t>Δf</w:t>
      </w:r>
      <w:r w:rsidR="00852F44" w:rsidRPr="00313F43">
        <w:rPr>
          <w:vertAlign w:val="subscript"/>
          <w:lang w:val="en-US"/>
        </w:rPr>
        <w:t>OBUE</w:t>
      </w:r>
      <w:proofErr w:type="spellEnd"/>
      <w:r w:rsidR="00852F44">
        <w:rPr>
          <w:lang w:val="en-US"/>
        </w:rPr>
        <w:t xml:space="preserve"> </w:t>
      </w:r>
      <w:r w:rsidR="00313F43">
        <w:rPr>
          <w:lang w:val="en-US"/>
        </w:rPr>
        <w:t xml:space="preserve">is introduced in </w:t>
      </w:r>
      <w:r w:rsidR="007C2398">
        <w:rPr>
          <w:lang w:val="en-US"/>
        </w:rPr>
        <w:t xml:space="preserve">LTE, MSR and NR specifications to define </w:t>
      </w:r>
      <w:r w:rsidR="00D5635A">
        <w:rPr>
          <w:lang w:val="en-US"/>
        </w:rPr>
        <w:t>the maximum offset of the OBUE mask from the operating band edges. It was previously agree</w:t>
      </w:r>
      <w:r w:rsidR="00CE10F8">
        <w:rPr>
          <w:lang w:val="en-US"/>
        </w:rPr>
        <w:t>d</w:t>
      </w:r>
      <w:r w:rsidR="00D5635A">
        <w:rPr>
          <w:lang w:val="en-US"/>
        </w:rPr>
        <w:t xml:space="preserve"> to apply </w:t>
      </w:r>
      <w:proofErr w:type="spellStart"/>
      <w:r w:rsidR="00D5635A">
        <w:rPr>
          <w:lang w:val="en-US"/>
        </w:rPr>
        <w:t>Δf</w:t>
      </w:r>
      <w:r w:rsidR="00D5635A" w:rsidRPr="00313F43">
        <w:rPr>
          <w:vertAlign w:val="subscript"/>
          <w:lang w:val="en-US"/>
        </w:rPr>
        <w:t>OBUE</w:t>
      </w:r>
      <w:proofErr w:type="spellEnd"/>
      <w:r w:rsidR="00D5635A">
        <w:rPr>
          <w:lang w:val="en-US"/>
        </w:rPr>
        <w:t xml:space="preserve"> = 1</w:t>
      </w:r>
      <w:r w:rsidR="000D464E">
        <w:rPr>
          <w:lang w:val="en-US"/>
        </w:rPr>
        <w:t>.</w:t>
      </w:r>
      <w:r w:rsidR="00D5635A">
        <w:rPr>
          <w:lang w:val="en-US"/>
        </w:rPr>
        <w:t xml:space="preserve">5 GHz for NR </w:t>
      </w:r>
      <w:r w:rsidR="000D464E">
        <w:rPr>
          <w:lang w:val="en-US"/>
        </w:rPr>
        <w:t>in FR2</w:t>
      </w:r>
      <w:r w:rsidR="00BC79C2">
        <w:rPr>
          <w:lang w:val="en-US"/>
        </w:rPr>
        <w:t xml:space="preserve"> (</w:t>
      </w:r>
      <w:r w:rsidR="00BC79C2" w:rsidRPr="00BC79C2">
        <w:rPr>
          <w:i/>
          <w:lang w:val="en-US"/>
        </w:rPr>
        <w:t>BS Type 2-O</w:t>
      </w:r>
      <w:r w:rsidR="00BC79C2">
        <w:rPr>
          <w:lang w:val="en-US"/>
        </w:rPr>
        <w:t>)</w:t>
      </w:r>
      <w:r w:rsidR="007E238F">
        <w:rPr>
          <w:lang w:val="en-US"/>
        </w:rPr>
        <w:t xml:space="preserve">, which is </w:t>
      </w:r>
      <w:r w:rsidR="00C6790D">
        <w:rPr>
          <w:lang w:val="en-US"/>
        </w:rPr>
        <w:t>included</w:t>
      </w:r>
      <w:r w:rsidR="007E238F">
        <w:rPr>
          <w:lang w:val="en-US"/>
        </w:rPr>
        <w:t xml:space="preserve"> in clause 9.7.1 of TS 38.104</w:t>
      </w:r>
      <w:r w:rsidR="000D464E">
        <w:rPr>
          <w:lang w:val="en-US"/>
        </w:rPr>
        <w:t>.</w:t>
      </w:r>
    </w:p>
    <w:p w14:paraId="04D9FD5E" w14:textId="1D8CE0A0" w:rsidR="00D740B1" w:rsidRDefault="006A412A" w:rsidP="00D740B1">
      <w:pPr>
        <w:pStyle w:val="BodyText"/>
        <w:rPr>
          <w:lang w:val="en-US"/>
        </w:rPr>
      </w:pPr>
      <w:r>
        <w:rPr>
          <w:lang w:val="en-US"/>
        </w:rPr>
        <w:t xml:space="preserve">There are </w:t>
      </w:r>
      <w:r w:rsidR="000B10FE">
        <w:rPr>
          <w:lang w:val="en-US"/>
        </w:rPr>
        <w:t xml:space="preserve">fundamentally </w:t>
      </w:r>
      <w:r>
        <w:rPr>
          <w:lang w:val="en-US"/>
        </w:rPr>
        <w:t xml:space="preserve">two ways that </w:t>
      </w:r>
      <w:r w:rsidR="004E3328">
        <w:rPr>
          <w:lang w:val="en-US"/>
        </w:rPr>
        <w:t xml:space="preserve">the </w:t>
      </w:r>
      <w:r w:rsidR="00551524">
        <w:rPr>
          <w:lang w:val="en-US"/>
        </w:rPr>
        <w:t>3GPP principle of an OBUE mask and the Spurious Emissions “Mask” defined by ECC (Figure 1) can be merged:</w:t>
      </w:r>
    </w:p>
    <w:p w14:paraId="238EA6B0" w14:textId="63BFEB24" w:rsidR="00517860" w:rsidRDefault="00517860" w:rsidP="00551524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Define the OBUE out to the offset defined by F</w:t>
      </w:r>
      <w:r w:rsidR="00450BE2">
        <w:rPr>
          <w:lang w:val="en-US"/>
        </w:rPr>
        <w:t>c</w:t>
      </w:r>
      <w:r>
        <w:rPr>
          <w:lang w:val="en-US"/>
        </w:rPr>
        <w:t xml:space="preserve"> in Figure 1, with the rest of the mask being part of th</w:t>
      </w:r>
      <w:r w:rsidR="00450BE2">
        <w:rPr>
          <w:lang w:val="en-US"/>
        </w:rPr>
        <w:t xml:space="preserve">e requirements defined under the subclause </w:t>
      </w:r>
      <w:r w:rsidR="002B7E67">
        <w:rPr>
          <w:lang w:val="en-US"/>
        </w:rPr>
        <w:t xml:space="preserve">for </w:t>
      </w:r>
      <w:r w:rsidR="00450BE2">
        <w:rPr>
          <w:lang w:val="en-US"/>
        </w:rPr>
        <w:t>“Spurious emissions”.</w:t>
      </w:r>
    </w:p>
    <w:p w14:paraId="409224E7" w14:textId="2643987B" w:rsidR="00551524" w:rsidRDefault="00551524" w:rsidP="00551524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Adopt the </w:t>
      </w:r>
      <w:r w:rsidR="00517860">
        <w:rPr>
          <w:lang w:val="en-US"/>
        </w:rPr>
        <w:t xml:space="preserve">whole range </w:t>
      </w:r>
      <w:r w:rsidR="00450BE2">
        <w:rPr>
          <w:lang w:val="en-US"/>
        </w:rPr>
        <w:t>defined</w:t>
      </w:r>
      <w:r w:rsidR="00517860">
        <w:rPr>
          <w:lang w:val="en-US"/>
        </w:rPr>
        <w:t xml:space="preserve"> out to F</w:t>
      </w:r>
      <w:r w:rsidR="00450BE2">
        <w:rPr>
          <w:lang w:val="en-US"/>
        </w:rPr>
        <w:t>e in Figure 1 as part of an OBUE and</w:t>
      </w:r>
      <w:r w:rsidR="00F76190">
        <w:rPr>
          <w:lang w:val="en-US"/>
        </w:rPr>
        <w:t xml:space="preserve"> only have the limits outside of Fe under the subclause </w:t>
      </w:r>
      <w:r w:rsidR="002B7E67">
        <w:rPr>
          <w:lang w:val="en-US"/>
        </w:rPr>
        <w:t>for “Spurious emissions”</w:t>
      </w:r>
      <w:r w:rsidR="00D64BDA">
        <w:rPr>
          <w:lang w:val="en-US"/>
        </w:rPr>
        <w:t>.</w:t>
      </w:r>
    </w:p>
    <w:p w14:paraId="1417A93F" w14:textId="2C153AC9" w:rsidR="00F76190" w:rsidRDefault="00A3337B" w:rsidP="00F76190">
      <w:pPr>
        <w:pStyle w:val="BodyText"/>
        <w:rPr>
          <w:lang w:val="en-US"/>
        </w:rPr>
      </w:pPr>
      <w:r>
        <w:rPr>
          <w:lang w:val="en-US"/>
        </w:rPr>
        <w:t xml:space="preserve">Option 1 could easily fit within the present definition of </w:t>
      </w:r>
      <w:proofErr w:type="spellStart"/>
      <w:r>
        <w:rPr>
          <w:lang w:val="en-US"/>
        </w:rPr>
        <w:t>Δf</w:t>
      </w:r>
      <w:r w:rsidRPr="00313F43">
        <w:rPr>
          <w:vertAlign w:val="subscript"/>
          <w:lang w:val="en-US"/>
        </w:rPr>
        <w:t>OBUE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and would </w:t>
      </w:r>
      <w:r w:rsidR="00376C4D">
        <w:rPr>
          <w:lang w:val="en-US"/>
        </w:rPr>
        <w:t>keep the present value, at least for band n258. Option 2 would mean a new definition that would not align between Category A and Category B and would also lead to very large</w:t>
      </w:r>
      <w:r w:rsidR="006066B0">
        <w:rPr>
          <w:lang w:val="en-US"/>
        </w:rPr>
        <w:t xml:space="preserve"> </w:t>
      </w:r>
      <w:proofErr w:type="spellStart"/>
      <w:r w:rsidR="006066B0">
        <w:rPr>
          <w:lang w:val="en-US"/>
        </w:rPr>
        <w:t>Δf</w:t>
      </w:r>
      <w:r w:rsidR="006066B0" w:rsidRPr="00313F43">
        <w:rPr>
          <w:vertAlign w:val="subscript"/>
          <w:lang w:val="en-US"/>
        </w:rPr>
        <w:t>OBUE</w:t>
      </w:r>
      <w:proofErr w:type="spellEnd"/>
      <w:r w:rsidR="006066B0">
        <w:rPr>
          <w:lang w:val="en-US"/>
        </w:rPr>
        <w:t xml:space="preserve"> numbers</w:t>
      </w:r>
      <w:r w:rsidR="00AA02F8">
        <w:rPr>
          <w:lang w:val="en-US"/>
        </w:rPr>
        <w:t>. IN addition, a</w:t>
      </w:r>
      <w:r w:rsidR="00B43C47">
        <w:rPr>
          <w:lang w:val="en-US"/>
        </w:rPr>
        <w:t>t least</w:t>
      </w:r>
      <w:r w:rsidR="006066B0">
        <w:rPr>
          <w:lang w:val="en-US"/>
        </w:rPr>
        <w:t xml:space="preserve"> for Band n258, the </w:t>
      </w:r>
      <w:r w:rsidR="00B43C47">
        <w:rPr>
          <w:lang w:val="en-US"/>
        </w:rPr>
        <w:t xml:space="preserve">mask would not be symmetric, with different </w:t>
      </w:r>
      <w:proofErr w:type="spellStart"/>
      <w:r w:rsidR="00B43C47">
        <w:rPr>
          <w:lang w:val="en-US"/>
        </w:rPr>
        <w:t>Δf</w:t>
      </w:r>
      <w:r w:rsidR="00B43C47" w:rsidRPr="00313F43">
        <w:rPr>
          <w:vertAlign w:val="subscript"/>
          <w:lang w:val="en-US"/>
        </w:rPr>
        <w:t>OBUE</w:t>
      </w:r>
      <w:proofErr w:type="spellEnd"/>
      <w:r w:rsidR="00B43C47">
        <w:rPr>
          <w:lang w:val="en-US"/>
        </w:rPr>
        <w:t xml:space="preserve"> values below a</w:t>
      </w:r>
      <w:r w:rsidR="00AA02F8">
        <w:rPr>
          <w:lang w:val="en-US"/>
        </w:rPr>
        <w:t>n</w:t>
      </w:r>
      <w:r w:rsidR="00B43C47">
        <w:rPr>
          <w:lang w:val="en-US"/>
        </w:rPr>
        <w:t>d above the band.</w:t>
      </w:r>
    </w:p>
    <w:p w14:paraId="6DA00457" w14:textId="26B9FB6F" w:rsidR="00C2716F" w:rsidRPr="00A81EEC" w:rsidRDefault="00C2716F" w:rsidP="00C2716F">
      <w:pPr>
        <w:pStyle w:val="BodyText"/>
        <w:ind w:left="1843" w:hanging="1417"/>
        <w:rPr>
          <w:lang w:val="en-US"/>
        </w:rPr>
      </w:pPr>
      <w:r w:rsidRPr="001B44C4">
        <w:rPr>
          <w:b/>
          <w:lang w:val="en-US"/>
        </w:rPr>
        <w:t xml:space="preserve">Observation </w:t>
      </w:r>
      <w:r w:rsidR="005D124B">
        <w:rPr>
          <w:b/>
          <w:lang w:val="en-US"/>
        </w:rPr>
        <w:t>2</w:t>
      </w:r>
      <w:r w:rsidRPr="001B44C4">
        <w:rPr>
          <w:b/>
          <w:lang w:val="en-US"/>
        </w:rPr>
        <w:t>:</w:t>
      </w:r>
      <w:r>
        <w:rPr>
          <w:lang w:val="en-US"/>
        </w:rPr>
        <w:tab/>
        <w:t xml:space="preserve">Defining an OBE extending out to </w:t>
      </w:r>
      <w:r w:rsidR="00241458">
        <w:rPr>
          <w:lang w:val="en-US"/>
        </w:rPr>
        <w:t xml:space="preserve">a freqeuncy offset defined by Fc in Figure 1 would </w:t>
      </w:r>
      <w:r w:rsidR="00BF582E">
        <w:rPr>
          <w:lang w:val="en-US"/>
        </w:rPr>
        <w:t>align with present definitions (</w:t>
      </w:r>
      <w:r w:rsidR="007A28D3">
        <w:rPr>
          <w:lang w:val="en-US"/>
        </w:rPr>
        <w:t xml:space="preserve">FR1 and </w:t>
      </w:r>
      <w:r w:rsidR="00BF582E">
        <w:rPr>
          <w:lang w:val="en-US"/>
        </w:rPr>
        <w:t xml:space="preserve">Category </w:t>
      </w:r>
      <w:r w:rsidR="007A28D3">
        <w:rPr>
          <w:lang w:val="en-US"/>
        </w:rPr>
        <w:t>A FR2</w:t>
      </w:r>
      <w:r w:rsidR="00BF582E">
        <w:rPr>
          <w:lang w:val="en-US"/>
        </w:rPr>
        <w:t xml:space="preserve">) </w:t>
      </w:r>
      <w:proofErr w:type="gramStart"/>
      <w:r w:rsidR="00BF582E">
        <w:rPr>
          <w:lang w:val="en-US"/>
        </w:rPr>
        <w:t>and also</w:t>
      </w:r>
      <w:proofErr w:type="gramEnd"/>
      <w:r w:rsidR="00BF582E">
        <w:rPr>
          <w:lang w:val="en-US"/>
        </w:rPr>
        <w:t xml:space="preserve"> keep</w:t>
      </w:r>
      <w:r w:rsidR="00241458">
        <w:rPr>
          <w:lang w:val="en-US"/>
        </w:rPr>
        <w:t xml:space="preserve"> the present</w:t>
      </w:r>
      <w:r w:rsidR="00BF582E">
        <w:rPr>
          <w:lang w:val="en-US"/>
        </w:rPr>
        <w:t xml:space="preserve"> value of</w:t>
      </w:r>
      <w:r w:rsidR="00241458">
        <w:rPr>
          <w:lang w:val="en-US"/>
        </w:rPr>
        <w:t xml:space="preserve"> </w:t>
      </w:r>
      <w:proofErr w:type="spellStart"/>
      <w:r w:rsidR="00241458">
        <w:rPr>
          <w:lang w:val="en-US"/>
        </w:rPr>
        <w:t>Δf</w:t>
      </w:r>
      <w:r w:rsidR="00241458" w:rsidRPr="00313F43">
        <w:rPr>
          <w:vertAlign w:val="subscript"/>
          <w:lang w:val="en-US"/>
        </w:rPr>
        <w:t>OBUE</w:t>
      </w:r>
      <w:proofErr w:type="spellEnd"/>
      <w:r>
        <w:rPr>
          <w:lang w:val="en-US"/>
        </w:rPr>
        <w:t>.</w:t>
      </w:r>
    </w:p>
    <w:p w14:paraId="54BAEBB1" w14:textId="77777777" w:rsidR="005D124B" w:rsidRPr="00B43C47" w:rsidRDefault="005D124B" w:rsidP="00F76190">
      <w:pPr>
        <w:pStyle w:val="BodyText"/>
        <w:rPr>
          <w:lang w:val="en-US"/>
        </w:rPr>
      </w:pPr>
    </w:p>
    <w:p w14:paraId="66D2FBF1" w14:textId="77777777" w:rsidR="00BF4F89" w:rsidRDefault="005D1BBE" w:rsidP="00525365">
      <w:pPr>
        <w:pStyle w:val="BodyText"/>
        <w:keepNext/>
        <w:jc w:val="center"/>
      </w:pPr>
      <w:r>
        <w:rPr>
          <w:noProof/>
          <w:lang w:val="en-US" w:eastAsia="zh-CN"/>
        </w:rPr>
        <w:pict w14:anchorId="4BA7D1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5pt;height:266.7pt;visibility:visible;mso-wrap-style:square">
            <v:imagedata r:id="rId8" o:title=""/>
          </v:shape>
        </w:pict>
      </w:r>
    </w:p>
    <w:p w14:paraId="6617FF1F" w14:textId="5CE3FF45" w:rsidR="00BF4F89" w:rsidRDefault="00BF4F89" w:rsidP="00BF4F89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5365">
        <w:rPr>
          <w:noProof/>
        </w:rPr>
        <w:t>1</w:t>
      </w:r>
      <w:r>
        <w:fldChar w:fldCharType="end"/>
      </w:r>
      <w:r>
        <w:t>:</w:t>
      </w:r>
      <w:r w:rsidR="00685358" w:rsidRPr="00685358">
        <w:t xml:space="preserve"> </w:t>
      </w:r>
      <w:r w:rsidR="00685358">
        <w:t>B</w:t>
      </w:r>
      <w:r w:rsidR="00685358" w:rsidRPr="00685358">
        <w:t xml:space="preserve">and-centric </w:t>
      </w:r>
      <w:r w:rsidR="00685358">
        <w:t xml:space="preserve">Spurious Emissions </w:t>
      </w:r>
      <w:r w:rsidR="00685358" w:rsidRPr="00685358">
        <w:t>“mask” for AAS BS operating above 24.25 GHz</w:t>
      </w:r>
      <w:r w:rsidR="00A4686D">
        <w:t xml:space="preserve">, from Draft revisions of ERC Recommendation 74-01 </w:t>
      </w:r>
      <w:r w:rsidR="00270295">
        <w:t>[2].</w:t>
      </w:r>
    </w:p>
    <w:p w14:paraId="00F889DD" w14:textId="694DED27" w:rsidR="007E238F" w:rsidRDefault="007E238F" w:rsidP="00D740B1">
      <w:pPr>
        <w:pStyle w:val="BodyText"/>
        <w:rPr>
          <w:lang w:val="en-US"/>
        </w:rPr>
      </w:pPr>
    </w:p>
    <w:p w14:paraId="6D8FE920" w14:textId="4BEAFD04" w:rsidR="005D124B" w:rsidRDefault="005D124B" w:rsidP="00D740B1">
      <w:pPr>
        <w:pStyle w:val="BodyText"/>
        <w:rPr>
          <w:lang w:val="en-US"/>
        </w:rPr>
      </w:pPr>
      <w:r>
        <w:rPr>
          <w:lang w:val="en-US"/>
        </w:rPr>
        <w:t xml:space="preserve">Based on </w:t>
      </w:r>
      <w:r w:rsidR="00BA0EFB">
        <w:rPr>
          <w:lang w:val="en-US"/>
        </w:rPr>
        <w:t>Observation 1 and 2 above, the following is proposed:</w:t>
      </w:r>
    </w:p>
    <w:p w14:paraId="0A8A3954" w14:textId="4976BD65" w:rsidR="00BA0EFB" w:rsidRPr="00A81EEC" w:rsidRDefault="00BA0EFB" w:rsidP="00BA0EFB">
      <w:pPr>
        <w:pStyle w:val="BodyText"/>
        <w:ind w:left="1560" w:hanging="1134"/>
        <w:rPr>
          <w:lang w:val="en-US"/>
        </w:rPr>
      </w:pPr>
      <w:r>
        <w:rPr>
          <w:b/>
          <w:lang w:val="en-US"/>
        </w:rPr>
        <w:t>Proposal 1</w:t>
      </w:r>
      <w:r w:rsidRPr="001B44C4">
        <w:rPr>
          <w:b/>
          <w:lang w:val="en-US"/>
        </w:rPr>
        <w:t>:</w:t>
      </w:r>
      <w:r>
        <w:rPr>
          <w:lang w:val="en-US"/>
        </w:rPr>
        <w:tab/>
      </w:r>
      <w:r w:rsidR="008F1585">
        <w:rPr>
          <w:lang w:val="en-US"/>
        </w:rPr>
        <w:t>The band-centric approach for OBUE is kept for Category B spurious emissions and the OBUE is defined</w:t>
      </w:r>
      <w:r w:rsidR="000E324A">
        <w:rPr>
          <w:lang w:val="en-US"/>
        </w:rPr>
        <w:t xml:space="preserve"> out to an offset corresponding to Fc in Figure 1, thereby keeping the present definition of Δf</w:t>
      </w:r>
      <w:r w:rsidR="000E324A" w:rsidRPr="00313F43">
        <w:rPr>
          <w:vertAlign w:val="subscript"/>
          <w:lang w:val="en-US"/>
        </w:rPr>
        <w:t>OBUE</w:t>
      </w:r>
      <w:r>
        <w:rPr>
          <w:lang w:val="en-US"/>
        </w:rPr>
        <w:t>.</w:t>
      </w:r>
    </w:p>
    <w:p w14:paraId="10F94D9C" w14:textId="32B6C655" w:rsidR="00BA0EFB" w:rsidRPr="003E1240" w:rsidRDefault="00FE1813" w:rsidP="00D740B1">
      <w:pPr>
        <w:pStyle w:val="BodyText"/>
        <w:rPr>
          <w:lang w:val="en-US"/>
        </w:rPr>
      </w:pPr>
      <w:r>
        <w:rPr>
          <w:lang w:val="en-US"/>
        </w:rPr>
        <w:t xml:space="preserve">Spurious emissions can now be defined based on the offsets described in </w:t>
      </w:r>
      <w:r w:rsidR="00973B73">
        <w:rPr>
          <w:lang w:val="en-US"/>
        </w:rPr>
        <w:t xml:space="preserve">Figure 1. Since the corresponding </w:t>
      </w:r>
      <w:r w:rsidR="00A4686D">
        <w:rPr>
          <w:lang w:val="en-US"/>
        </w:rPr>
        <w:t>frequencies</w:t>
      </w:r>
      <w:r w:rsidR="00973B73">
        <w:rPr>
          <w:lang w:val="en-US"/>
        </w:rPr>
        <w:t xml:space="preserve"> will vary between operating bands it is proposed to introduce the symbols</w:t>
      </w:r>
      <w:r w:rsidR="00494070">
        <w:rPr>
          <w:lang w:val="en-US"/>
        </w:rPr>
        <w:t xml:space="preserve"> </w:t>
      </w:r>
      <w:r w:rsidR="00494070">
        <w:t>F</w:t>
      </w:r>
      <w:r w:rsidR="00494070" w:rsidRPr="00BC1DBF">
        <w:rPr>
          <w:vertAlign w:val="subscript"/>
        </w:rPr>
        <w:t>step,</w:t>
      </w:r>
      <w:r w:rsidR="00494070">
        <w:rPr>
          <w:vertAlign w:val="subscript"/>
        </w:rPr>
        <w:t>1</w:t>
      </w:r>
      <w:r w:rsidR="00494070">
        <w:rPr>
          <w:lang w:val="en-US"/>
        </w:rPr>
        <w:t xml:space="preserve"> to </w:t>
      </w:r>
      <w:r w:rsidR="00494070">
        <w:t>F</w:t>
      </w:r>
      <w:r w:rsidR="00494070" w:rsidRPr="00BC1DBF">
        <w:rPr>
          <w:vertAlign w:val="subscript"/>
        </w:rPr>
        <w:t>step,</w:t>
      </w:r>
      <w:r w:rsidR="00494070">
        <w:rPr>
          <w:vertAlign w:val="subscript"/>
        </w:rPr>
        <w:t>6</w:t>
      </w:r>
      <w:r w:rsidR="00494070">
        <w:rPr>
          <w:lang w:val="en-US"/>
        </w:rPr>
        <w:t>, as shown in Figure 2.</w:t>
      </w:r>
      <w:r w:rsidR="00C47F50">
        <w:rPr>
          <w:lang w:val="en-US"/>
        </w:rPr>
        <w:t xml:space="preserve"> The spurious emission limits would be defined for all frequencies, except between</w:t>
      </w:r>
      <w:r w:rsidR="003E1240">
        <w:rPr>
          <w:lang w:val="en-US"/>
        </w:rPr>
        <w:t xml:space="preserve"> </w:t>
      </w:r>
      <w:r w:rsidR="003E1240">
        <w:t>F</w:t>
      </w:r>
      <w:r w:rsidR="003E1240" w:rsidRPr="00BC1DBF">
        <w:rPr>
          <w:vertAlign w:val="subscript"/>
        </w:rPr>
        <w:t>step,</w:t>
      </w:r>
      <w:r w:rsidR="003E1240">
        <w:rPr>
          <w:vertAlign w:val="subscript"/>
        </w:rPr>
        <w:t>3</w:t>
      </w:r>
      <w:r w:rsidR="003E1240">
        <w:rPr>
          <w:lang w:val="en-US"/>
        </w:rPr>
        <w:t xml:space="preserve"> and </w:t>
      </w:r>
      <w:r w:rsidR="003E1240">
        <w:t>F</w:t>
      </w:r>
      <w:r w:rsidR="003E1240" w:rsidRPr="00BC1DBF">
        <w:rPr>
          <w:vertAlign w:val="subscript"/>
        </w:rPr>
        <w:t>step,</w:t>
      </w:r>
      <w:r w:rsidR="003E1240">
        <w:rPr>
          <w:vertAlign w:val="subscript"/>
        </w:rPr>
        <w:t>4</w:t>
      </w:r>
      <w:r w:rsidR="003E1240">
        <w:t xml:space="preserve">, </w:t>
      </w:r>
      <w:r w:rsidR="00816E14">
        <w:t>where they</w:t>
      </w:r>
      <w:r w:rsidR="003E1240">
        <w:t xml:space="preserve"> would be covered by the OBUE mask.</w:t>
      </w:r>
    </w:p>
    <w:p w14:paraId="2D4DF013" w14:textId="1EDDB3FE" w:rsidR="00494070" w:rsidRDefault="00494070" w:rsidP="00D740B1">
      <w:pPr>
        <w:pStyle w:val="BodyText"/>
        <w:rPr>
          <w:lang w:val="en-US"/>
        </w:rPr>
      </w:pPr>
    </w:p>
    <w:p w14:paraId="3A4ED0AB" w14:textId="6CB794A7" w:rsidR="00525365" w:rsidRDefault="0009649C" w:rsidP="0009649C">
      <w:pPr>
        <w:pStyle w:val="BodyText"/>
        <w:keepNext/>
        <w:jc w:val="center"/>
        <w:rPr>
          <w:lang w:val="en-US"/>
        </w:rPr>
      </w:pPr>
      <w:r>
        <w:rPr>
          <w:noProof/>
          <w:lang w:val="en-US"/>
        </w:rPr>
      </w:r>
      <w:r>
        <w:rPr>
          <w:lang w:val="en-US"/>
        </w:rPr>
        <w:pict w14:anchorId="51763C9E">
          <v:shape id="_x0000_s1049" type="#_x0000_t75" style="width:469.35pt;height:251.3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  <w10:anchorlock/>
          </v:shape>
        </w:pict>
      </w:r>
    </w:p>
    <w:p w14:paraId="67390BAA" w14:textId="23D5C396" w:rsidR="005D124B" w:rsidRDefault="00525365" w:rsidP="0052536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="00617138">
        <w:t xml:space="preserve"> Spurious emission limits defined using “steps”</w:t>
      </w:r>
      <w:r w:rsidR="00C47F50">
        <w:t xml:space="preserve"> at fixed </w:t>
      </w:r>
      <w:r w:rsidR="009E0671">
        <w:t>frequencies that are</w:t>
      </w:r>
      <w:r w:rsidR="00C47F50">
        <w:t xml:space="preserve"> defined per operating band.</w:t>
      </w:r>
    </w:p>
    <w:p w14:paraId="5ABD26FC" w14:textId="77777777" w:rsidR="00DA74A2" w:rsidRPr="00DA74A2" w:rsidRDefault="00DA74A2" w:rsidP="00DA74A2">
      <w:pPr>
        <w:pStyle w:val="BodyText"/>
      </w:pPr>
    </w:p>
    <w:p w14:paraId="0A6F3989" w14:textId="2CB2DF38" w:rsidR="005D124B" w:rsidRDefault="003E1240" w:rsidP="00D740B1">
      <w:pPr>
        <w:pStyle w:val="BodyText"/>
        <w:rPr>
          <w:lang w:val="en-US"/>
        </w:rPr>
      </w:pPr>
      <w:r>
        <w:rPr>
          <w:lang w:val="en-US"/>
        </w:rPr>
        <w:t xml:space="preserve">Note that a similar approach is used in the proposal in [6], </w:t>
      </w:r>
      <w:r w:rsidR="00DA74A2">
        <w:rPr>
          <w:lang w:val="en-US"/>
        </w:rPr>
        <w:t>where</w:t>
      </w:r>
      <w:r>
        <w:rPr>
          <w:lang w:val="en-US"/>
        </w:rPr>
        <w:t xml:space="preserve"> fixed frequencies are used to </w:t>
      </w:r>
      <w:r w:rsidR="007B1EFE">
        <w:rPr>
          <w:lang w:val="en-US"/>
        </w:rPr>
        <w:t>define</w:t>
      </w:r>
      <w:r>
        <w:rPr>
          <w:lang w:val="en-US"/>
        </w:rPr>
        <w:t xml:space="preserve"> the spurious emission limits in a table. The proposal in [6] covers band n258, while introducing symbols in the table would make the proposal generic.</w:t>
      </w:r>
      <w:r w:rsidR="007B1EFE">
        <w:rPr>
          <w:lang w:val="en-US"/>
        </w:rPr>
        <w:t xml:space="preserve"> It could look like in Tables 1 and 2 below, where Table 1 defines the limit, while Table</w:t>
      </w:r>
      <w:r w:rsidR="005150FA">
        <w:rPr>
          <w:lang w:val="en-US"/>
        </w:rPr>
        <w:t>2</w:t>
      </w:r>
      <w:r w:rsidR="007B1EFE">
        <w:rPr>
          <w:lang w:val="en-US"/>
        </w:rPr>
        <w:t xml:space="preserve"> defines the freqeuncy steps (per operating band).</w:t>
      </w:r>
    </w:p>
    <w:p w14:paraId="4743C7F4" w14:textId="7F7BA53C" w:rsidR="00E53DCB" w:rsidRPr="005A07C7" w:rsidRDefault="00E53DCB" w:rsidP="00E53DCB">
      <w:pPr>
        <w:pStyle w:val="TH"/>
      </w:pPr>
      <w:r w:rsidRPr="005A07C7">
        <w:t xml:space="preserve">Table </w:t>
      </w:r>
      <w:r>
        <w:t>1</w:t>
      </w:r>
      <w:r w:rsidRPr="005A07C7">
        <w:t>: BS radiated Tx spurious emission limits in FR2</w:t>
      </w:r>
      <w:r>
        <w:t xml:space="preserve">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E53DCB" w:rsidRPr="005A07C7" w14:paraId="3CA86C02" w14:textId="77777777" w:rsidTr="00C45F7E">
        <w:trPr>
          <w:cantSplit/>
          <w:jc w:val="center"/>
        </w:trPr>
        <w:tc>
          <w:tcPr>
            <w:tcW w:w="2376" w:type="dxa"/>
          </w:tcPr>
          <w:p w14:paraId="0E5AC990" w14:textId="77777777" w:rsidR="00E53DCB" w:rsidRPr="005A07C7" w:rsidRDefault="00E53DCB" w:rsidP="00C45F7E">
            <w:pPr>
              <w:pStyle w:val="TAH"/>
            </w:pPr>
            <w:r w:rsidRPr="005A07C7">
              <w:t>Frequency range</w:t>
            </w:r>
            <w:r>
              <w:t xml:space="preserve"> </w:t>
            </w:r>
            <w:r>
              <w:br/>
              <w:t>(Note 4)</w:t>
            </w:r>
          </w:p>
        </w:tc>
        <w:tc>
          <w:tcPr>
            <w:tcW w:w="2052" w:type="dxa"/>
          </w:tcPr>
          <w:p w14:paraId="4BF35EB2" w14:textId="77777777" w:rsidR="00E53DCB" w:rsidRPr="005A07C7" w:rsidRDefault="00E53DCB" w:rsidP="00C45F7E">
            <w:pPr>
              <w:pStyle w:val="TAH"/>
            </w:pPr>
            <w:r w:rsidRPr="005A07C7">
              <w:t>Limit</w:t>
            </w:r>
          </w:p>
        </w:tc>
        <w:tc>
          <w:tcPr>
            <w:tcW w:w="1440" w:type="dxa"/>
          </w:tcPr>
          <w:p w14:paraId="5284B425" w14:textId="77777777" w:rsidR="00E53DCB" w:rsidRPr="005A07C7" w:rsidRDefault="00E53DCB" w:rsidP="00C45F7E">
            <w:pPr>
              <w:pStyle w:val="TAH"/>
            </w:pPr>
            <w:r w:rsidRPr="005A07C7">
              <w:t>Measurement Bandwidth</w:t>
            </w:r>
          </w:p>
        </w:tc>
        <w:tc>
          <w:tcPr>
            <w:tcW w:w="2604" w:type="dxa"/>
          </w:tcPr>
          <w:p w14:paraId="47FFD558" w14:textId="77777777" w:rsidR="00E53DCB" w:rsidRPr="005A07C7" w:rsidRDefault="00E53DCB" w:rsidP="00C45F7E">
            <w:pPr>
              <w:pStyle w:val="TAH"/>
            </w:pPr>
            <w:r w:rsidRPr="005A07C7">
              <w:t>Note</w:t>
            </w:r>
          </w:p>
        </w:tc>
      </w:tr>
      <w:tr w:rsidR="00E53DCB" w:rsidRPr="005A07C7" w14:paraId="61CD0925" w14:textId="77777777" w:rsidTr="00C45F7E">
        <w:trPr>
          <w:cantSplit/>
          <w:jc w:val="center"/>
        </w:trPr>
        <w:tc>
          <w:tcPr>
            <w:tcW w:w="2376" w:type="dxa"/>
          </w:tcPr>
          <w:p w14:paraId="244456CE" w14:textId="77777777" w:rsidR="00E53DCB" w:rsidRPr="005A07C7" w:rsidRDefault="00E53DCB" w:rsidP="00C45F7E">
            <w:pPr>
              <w:pStyle w:val="TAC"/>
            </w:pPr>
            <w:r w:rsidRPr="005A07C7">
              <w:t>30 MHz</w:t>
            </w:r>
            <w:r>
              <w:t xml:space="preserve"> </w:t>
            </w:r>
            <w:r w:rsidRPr="005A07C7">
              <w:t xml:space="preserve"> </w:t>
            </w:r>
            <w:r w:rsidRPr="00355D13">
              <w:rPr>
                <w:rFonts w:cs="Arial"/>
              </w:rPr>
              <w:sym w:font="Symbol" w:char="F0AB"/>
            </w:r>
            <w:r w:rsidRPr="005A07C7">
              <w:t xml:space="preserve"> </w:t>
            </w:r>
            <w:r>
              <w:t xml:space="preserve"> </w:t>
            </w:r>
            <w:r w:rsidRPr="005A07C7">
              <w:t>1 GHz</w:t>
            </w:r>
          </w:p>
        </w:tc>
        <w:tc>
          <w:tcPr>
            <w:tcW w:w="2052" w:type="dxa"/>
          </w:tcPr>
          <w:p w14:paraId="6CC2DAA6" w14:textId="77777777" w:rsidR="00E53DCB" w:rsidRPr="005A07C7" w:rsidRDefault="00E53DCB" w:rsidP="00C45F7E">
            <w:pPr>
              <w:pStyle w:val="TAC"/>
            </w:pPr>
            <w:r>
              <w:t>-36 dBm</w:t>
            </w:r>
          </w:p>
        </w:tc>
        <w:tc>
          <w:tcPr>
            <w:tcW w:w="1440" w:type="dxa"/>
          </w:tcPr>
          <w:p w14:paraId="0A4B0CE4" w14:textId="77777777" w:rsidR="00E53DCB" w:rsidRPr="005A07C7" w:rsidRDefault="00E53DCB" w:rsidP="00C45F7E">
            <w:pPr>
              <w:pStyle w:val="TAC"/>
              <w:rPr>
                <w:rFonts w:cs="Arial"/>
              </w:rPr>
            </w:pPr>
            <w:r w:rsidRPr="005A07C7">
              <w:t>100 kHz</w:t>
            </w:r>
          </w:p>
        </w:tc>
        <w:tc>
          <w:tcPr>
            <w:tcW w:w="2604" w:type="dxa"/>
          </w:tcPr>
          <w:p w14:paraId="7C3A4098" w14:textId="37D37B69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  <w:tr w:rsidR="00E53DCB" w:rsidRPr="005A07C7" w14:paraId="7F78D592" w14:textId="77777777" w:rsidTr="00C45F7E">
        <w:trPr>
          <w:cantSplit/>
          <w:jc w:val="center"/>
        </w:trPr>
        <w:tc>
          <w:tcPr>
            <w:tcW w:w="2376" w:type="dxa"/>
          </w:tcPr>
          <w:p w14:paraId="11E4A916" w14:textId="77777777" w:rsidR="00E53DCB" w:rsidRPr="005A07C7" w:rsidRDefault="00E53DCB" w:rsidP="00C45F7E">
            <w:pPr>
              <w:pStyle w:val="TAC"/>
            </w:pPr>
            <w:r w:rsidRPr="005A07C7">
              <w:t>1 GHz</w:t>
            </w:r>
            <w:r>
              <w:t xml:space="preserve"> </w:t>
            </w:r>
            <w:r w:rsidRPr="005A07C7">
              <w:t xml:space="preserve"> </w:t>
            </w:r>
            <w:r w:rsidRPr="00355D13">
              <w:rPr>
                <w:rFonts w:cs="Arial"/>
              </w:rPr>
              <w:sym w:font="Symbol" w:char="F0AB"/>
            </w:r>
            <w:r w:rsidRPr="005A07C7">
              <w:t xml:space="preserve"> </w:t>
            </w:r>
            <w:r>
              <w:t xml:space="preserve"> 18 GHz</w:t>
            </w:r>
          </w:p>
        </w:tc>
        <w:tc>
          <w:tcPr>
            <w:tcW w:w="2052" w:type="dxa"/>
          </w:tcPr>
          <w:p w14:paraId="0C375FE7" w14:textId="77777777" w:rsidR="00E53DCB" w:rsidRPr="005A07C7" w:rsidRDefault="00E53DCB" w:rsidP="00C45F7E">
            <w:pPr>
              <w:pStyle w:val="TAC"/>
            </w:pPr>
            <w:r>
              <w:t>-30 dBm</w:t>
            </w:r>
          </w:p>
        </w:tc>
        <w:tc>
          <w:tcPr>
            <w:tcW w:w="1440" w:type="dxa"/>
          </w:tcPr>
          <w:p w14:paraId="4366C928" w14:textId="77777777" w:rsidR="00E53DCB" w:rsidRPr="005A07C7" w:rsidRDefault="00E53DCB" w:rsidP="00C45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593FCBC3" w14:textId="47323D7E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  <w:tr w:rsidR="00E53DCB" w:rsidRPr="005A07C7" w14:paraId="07D412A3" w14:textId="77777777" w:rsidTr="00C45F7E">
        <w:trPr>
          <w:cantSplit/>
          <w:jc w:val="center"/>
        </w:trPr>
        <w:tc>
          <w:tcPr>
            <w:tcW w:w="2376" w:type="dxa"/>
          </w:tcPr>
          <w:p w14:paraId="59A64B28" w14:textId="77777777" w:rsidR="00E53DCB" w:rsidRPr="005A07C7" w:rsidRDefault="00E53DCB" w:rsidP="00C45F7E">
            <w:pPr>
              <w:pStyle w:val="TAC"/>
            </w:pPr>
            <w:r>
              <w:t xml:space="preserve">18 GHz  </w:t>
            </w:r>
            <w:r w:rsidRPr="00355D13">
              <w:rPr>
                <w:rFonts w:cs="Arial"/>
              </w:rPr>
              <w:sym w:font="Symbol" w:char="F0AB"/>
            </w:r>
            <w:r>
              <w:t xml:space="preserve">  F</w:t>
            </w:r>
            <w:r w:rsidRPr="00BC1DBF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B9E26F4" w14:textId="77777777" w:rsidR="00E53DCB" w:rsidRDefault="00E53DCB" w:rsidP="00C45F7E">
            <w:pPr>
              <w:pStyle w:val="TAC"/>
            </w:pPr>
            <w:r>
              <w:t>-20 dBm</w:t>
            </w:r>
          </w:p>
        </w:tc>
        <w:tc>
          <w:tcPr>
            <w:tcW w:w="1440" w:type="dxa"/>
          </w:tcPr>
          <w:p w14:paraId="5D494E48" w14:textId="77777777" w:rsidR="00E53DCB" w:rsidRDefault="00E53DCB" w:rsidP="00C45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04D12B8" w14:textId="6D6DD626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  <w:tr w:rsidR="00E53DCB" w:rsidRPr="005A07C7" w14:paraId="393E28E7" w14:textId="77777777" w:rsidTr="00C45F7E">
        <w:trPr>
          <w:cantSplit/>
          <w:jc w:val="center"/>
        </w:trPr>
        <w:tc>
          <w:tcPr>
            <w:tcW w:w="2376" w:type="dxa"/>
          </w:tcPr>
          <w:p w14:paraId="6DDB9901" w14:textId="77777777" w:rsidR="00E53DCB" w:rsidRPr="005A07C7" w:rsidRDefault="00E53DCB" w:rsidP="00C45F7E">
            <w:pPr>
              <w:pStyle w:val="TAC"/>
            </w:pPr>
            <w:r>
              <w:t>F</w:t>
            </w:r>
            <w:r w:rsidRPr="00C45F7E">
              <w:rPr>
                <w:vertAlign w:val="subscript"/>
              </w:rPr>
              <w:t>step,</w:t>
            </w:r>
            <w:r>
              <w:rPr>
                <w:vertAlign w:val="subscript"/>
              </w:rPr>
              <w:t xml:space="preserve">1 </w:t>
            </w:r>
            <w:r w:rsidRPr="00C45F7E">
              <w:t xml:space="preserve"> </w:t>
            </w:r>
            <w:r w:rsidRPr="00355D13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C45F7E">
              <w:t xml:space="preserve"> </w:t>
            </w:r>
            <w:r>
              <w:t>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>2</w:t>
            </w:r>
          </w:p>
        </w:tc>
        <w:tc>
          <w:tcPr>
            <w:tcW w:w="2052" w:type="dxa"/>
          </w:tcPr>
          <w:p w14:paraId="1C89B87F" w14:textId="77777777" w:rsidR="00E53DCB" w:rsidRPr="005A07C7" w:rsidRDefault="00E53DCB" w:rsidP="00C45F7E">
            <w:pPr>
              <w:pStyle w:val="TAC"/>
            </w:pPr>
            <w:r>
              <w:t>-15 dBm</w:t>
            </w:r>
          </w:p>
        </w:tc>
        <w:tc>
          <w:tcPr>
            <w:tcW w:w="1440" w:type="dxa"/>
          </w:tcPr>
          <w:p w14:paraId="6A77A0CC" w14:textId="77777777" w:rsidR="00E53DCB" w:rsidRPr="005A07C7" w:rsidRDefault="00E53DCB" w:rsidP="00C45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0A60A8F3" w14:textId="29BD65AB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  <w:tr w:rsidR="00E53DCB" w:rsidRPr="005A07C7" w14:paraId="0A939EC1" w14:textId="77777777" w:rsidTr="00C45F7E">
        <w:trPr>
          <w:cantSplit/>
          <w:jc w:val="center"/>
        </w:trPr>
        <w:tc>
          <w:tcPr>
            <w:tcW w:w="2376" w:type="dxa"/>
          </w:tcPr>
          <w:p w14:paraId="20B3E95B" w14:textId="77777777" w:rsidR="00E53DCB" w:rsidRPr="005A07C7" w:rsidRDefault="00E53DCB" w:rsidP="00C45F7E">
            <w:pPr>
              <w:pStyle w:val="TAC"/>
            </w:pPr>
            <w:r>
              <w:t>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>2</w:t>
            </w:r>
            <w:r w:rsidRPr="00BC1DBF">
              <w:t xml:space="preserve"> </w:t>
            </w:r>
            <w:r>
              <w:t xml:space="preserve"> </w:t>
            </w:r>
            <w:r w:rsidRPr="00355D13">
              <w:rPr>
                <w:rFonts w:cs="Arial"/>
              </w:rPr>
              <w:sym w:font="Symbol" w:char="F0AB"/>
            </w:r>
            <w:r w:rsidRPr="00BC1DBF">
              <w:t xml:space="preserve"> </w:t>
            </w:r>
            <w:r>
              <w:t xml:space="preserve"> 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>3</w:t>
            </w:r>
            <w:r w:rsidRPr="00BC1DBF">
              <w:t xml:space="preserve"> </w:t>
            </w:r>
            <w:r>
              <w:t xml:space="preserve"> </w:t>
            </w:r>
          </w:p>
        </w:tc>
        <w:tc>
          <w:tcPr>
            <w:tcW w:w="2052" w:type="dxa"/>
          </w:tcPr>
          <w:p w14:paraId="310C0DD1" w14:textId="77777777" w:rsidR="00E53DCB" w:rsidRPr="005A07C7" w:rsidRDefault="00E53DCB" w:rsidP="00C45F7E">
            <w:pPr>
              <w:pStyle w:val="TAC"/>
            </w:pPr>
            <w:r>
              <w:t>-10 dBm</w:t>
            </w:r>
          </w:p>
        </w:tc>
        <w:tc>
          <w:tcPr>
            <w:tcW w:w="1440" w:type="dxa"/>
          </w:tcPr>
          <w:p w14:paraId="367AE8E3" w14:textId="77777777" w:rsidR="00E53DCB" w:rsidRPr="005A07C7" w:rsidRDefault="00E53DCB" w:rsidP="00C45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24451DC4" w14:textId="61F22052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  <w:tr w:rsidR="00E53DCB" w:rsidRPr="005A07C7" w14:paraId="24FB9442" w14:textId="77777777" w:rsidTr="00C45F7E">
        <w:trPr>
          <w:cantSplit/>
          <w:jc w:val="center"/>
        </w:trPr>
        <w:tc>
          <w:tcPr>
            <w:tcW w:w="2376" w:type="dxa"/>
          </w:tcPr>
          <w:p w14:paraId="5C3E0E94" w14:textId="77777777" w:rsidR="00E53DCB" w:rsidRPr="000A1057" w:rsidRDefault="00E53DCB" w:rsidP="00C45F7E">
            <w:pPr>
              <w:pStyle w:val="TAC"/>
            </w:pPr>
            <w:r>
              <w:t>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 xml:space="preserve">4 </w:t>
            </w:r>
            <w:r w:rsidRPr="00BC1DBF">
              <w:t xml:space="preserve"> </w:t>
            </w:r>
            <w:r w:rsidRPr="00355D13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BC1DBF">
              <w:t xml:space="preserve"> </w:t>
            </w:r>
            <w:r>
              <w:t>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>5</w:t>
            </w:r>
          </w:p>
        </w:tc>
        <w:tc>
          <w:tcPr>
            <w:tcW w:w="2052" w:type="dxa"/>
          </w:tcPr>
          <w:p w14:paraId="53C23402" w14:textId="77777777" w:rsidR="00E53DCB" w:rsidRPr="005A07C7" w:rsidRDefault="00E53DCB" w:rsidP="00C45F7E">
            <w:pPr>
              <w:pStyle w:val="TAC"/>
            </w:pPr>
            <w:r>
              <w:t>-10 dBm</w:t>
            </w:r>
          </w:p>
        </w:tc>
        <w:tc>
          <w:tcPr>
            <w:tcW w:w="1440" w:type="dxa"/>
          </w:tcPr>
          <w:p w14:paraId="5C520E50" w14:textId="77777777" w:rsidR="00E53DCB" w:rsidRPr="005A07C7" w:rsidRDefault="00E53DCB" w:rsidP="00C45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52FBE7E1" w14:textId="20CEC368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  <w:tr w:rsidR="00E53DCB" w:rsidRPr="005A07C7" w14:paraId="687D9074" w14:textId="77777777" w:rsidTr="00C45F7E">
        <w:trPr>
          <w:cantSplit/>
          <w:jc w:val="center"/>
        </w:trPr>
        <w:tc>
          <w:tcPr>
            <w:tcW w:w="2376" w:type="dxa"/>
          </w:tcPr>
          <w:p w14:paraId="62736292" w14:textId="77777777" w:rsidR="00E53DCB" w:rsidRPr="005A07C7" w:rsidRDefault="00E53DCB" w:rsidP="00C45F7E">
            <w:pPr>
              <w:pStyle w:val="TAC"/>
            </w:pPr>
            <w:r>
              <w:t>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 xml:space="preserve">5 </w:t>
            </w:r>
            <w:r w:rsidRPr="00BC1DBF">
              <w:t xml:space="preserve"> </w:t>
            </w:r>
            <w:r w:rsidRPr="00355D13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BC1DBF">
              <w:t xml:space="preserve"> </w:t>
            </w:r>
            <w:r>
              <w:t>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>6</w:t>
            </w:r>
          </w:p>
        </w:tc>
        <w:tc>
          <w:tcPr>
            <w:tcW w:w="2052" w:type="dxa"/>
          </w:tcPr>
          <w:p w14:paraId="7F995686" w14:textId="77777777" w:rsidR="00E53DCB" w:rsidRPr="005A07C7" w:rsidRDefault="00E53DCB" w:rsidP="00C45F7E">
            <w:pPr>
              <w:pStyle w:val="TAC"/>
            </w:pPr>
            <w:r>
              <w:t>-15 dBm</w:t>
            </w:r>
          </w:p>
        </w:tc>
        <w:tc>
          <w:tcPr>
            <w:tcW w:w="1440" w:type="dxa"/>
          </w:tcPr>
          <w:p w14:paraId="38994A91" w14:textId="77777777" w:rsidR="00E53DCB" w:rsidRPr="005A07C7" w:rsidRDefault="00E53DCB" w:rsidP="00C45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BCE6820" w14:textId="372B298D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  <w:tr w:rsidR="00E53DCB" w:rsidRPr="005A07C7" w14:paraId="738D6C37" w14:textId="77777777" w:rsidTr="00C45F7E">
        <w:trPr>
          <w:cantSplit/>
          <w:jc w:val="center"/>
        </w:trPr>
        <w:tc>
          <w:tcPr>
            <w:tcW w:w="2376" w:type="dxa"/>
          </w:tcPr>
          <w:p w14:paraId="341BA3A8" w14:textId="77777777" w:rsidR="00E53DCB" w:rsidRPr="005A07C7" w:rsidRDefault="00E53DCB" w:rsidP="00C45F7E">
            <w:pPr>
              <w:pStyle w:val="TAC"/>
            </w:pPr>
            <w:r>
              <w:t>F</w:t>
            </w:r>
            <w:r w:rsidRPr="00BC1DBF">
              <w:rPr>
                <w:vertAlign w:val="subscript"/>
              </w:rPr>
              <w:t>step,</w:t>
            </w:r>
            <w:r>
              <w:rPr>
                <w:vertAlign w:val="subscript"/>
              </w:rPr>
              <w:t>6</w:t>
            </w:r>
            <w:r>
              <w:t xml:space="preserve">  </w:t>
            </w:r>
            <w:r w:rsidRPr="00355D13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BC1DBF">
              <w:t xml:space="preserve"> </w:t>
            </w:r>
            <w:r w:rsidRPr="005A07C7">
              <w:t>2</w:t>
            </w:r>
            <w:r w:rsidRPr="005A07C7">
              <w:rPr>
                <w:vertAlign w:val="superscript"/>
              </w:rPr>
              <w:t>nd</w:t>
            </w:r>
            <w:r w:rsidRPr="005A07C7">
              <w:t xml:space="preserve"> harmonic of the upper frequency edge of the DL </w:t>
            </w:r>
            <w:r w:rsidRPr="005A07C7">
              <w:rPr>
                <w:i/>
              </w:rPr>
              <w:t>operating band</w:t>
            </w:r>
          </w:p>
        </w:tc>
        <w:tc>
          <w:tcPr>
            <w:tcW w:w="2052" w:type="dxa"/>
          </w:tcPr>
          <w:p w14:paraId="236244FE" w14:textId="77777777" w:rsidR="00E53DCB" w:rsidRPr="005A07C7" w:rsidRDefault="00E53DCB" w:rsidP="00C45F7E">
            <w:pPr>
              <w:pStyle w:val="TAC"/>
            </w:pPr>
            <w:r>
              <w:t>-20 dBm</w:t>
            </w:r>
          </w:p>
        </w:tc>
        <w:tc>
          <w:tcPr>
            <w:tcW w:w="1440" w:type="dxa"/>
          </w:tcPr>
          <w:p w14:paraId="0BFD7967" w14:textId="77777777" w:rsidR="00E53DCB" w:rsidRPr="005A07C7" w:rsidRDefault="00E53DCB" w:rsidP="00C45F7E">
            <w:pPr>
              <w:pStyle w:val="TAC"/>
              <w:rPr>
                <w:rFonts w:cs="Arial"/>
              </w:rPr>
            </w:pPr>
            <w:r w:rsidRPr="00F27C9D">
              <w:t>1</w:t>
            </w:r>
            <w:r>
              <w:t>0</w:t>
            </w:r>
            <w:r w:rsidRPr="00F27C9D">
              <w:t xml:space="preserve"> MHz</w:t>
            </w:r>
          </w:p>
        </w:tc>
        <w:tc>
          <w:tcPr>
            <w:tcW w:w="2604" w:type="dxa"/>
          </w:tcPr>
          <w:p w14:paraId="16270F94" w14:textId="0DE5C59E" w:rsidR="00E53DCB" w:rsidRPr="005A07C7" w:rsidRDefault="00E53DCB" w:rsidP="00C45F7E">
            <w:pPr>
              <w:pStyle w:val="TAC"/>
              <w:rPr>
                <w:rFonts w:cs="Arial"/>
              </w:rPr>
            </w:pPr>
          </w:p>
        </w:tc>
      </w:tr>
    </w:tbl>
    <w:p w14:paraId="5C7D6269" w14:textId="77777777" w:rsidR="00E53DCB" w:rsidRDefault="00E53DCB" w:rsidP="00E53DCB"/>
    <w:p w14:paraId="51352F75" w14:textId="18BAF4DC" w:rsidR="00E53DCB" w:rsidRDefault="00E53DCB" w:rsidP="00E53DCB">
      <w:pPr>
        <w:pStyle w:val="TH"/>
      </w:pPr>
      <w:r>
        <w:t xml:space="preserve">Table 2: Step frequencies for defining the </w:t>
      </w:r>
      <w:r w:rsidRPr="005A07C7">
        <w:t>BS radiated Tx spurious emission limits in FR2</w:t>
      </w:r>
      <w:r>
        <w:t xml:space="preserve"> (Category 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261C12" w14:paraId="20D7445E" w14:textId="77777777" w:rsidTr="00261C12">
        <w:trPr>
          <w:jc w:val="center"/>
        </w:trPr>
        <w:tc>
          <w:tcPr>
            <w:tcW w:w="1912" w:type="dxa"/>
            <w:shd w:val="clear" w:color="auto" w:fill="auto"/>
          </w:tcPr>
          <w:p w14:paraId="006A8921" w14:textId="77777777" w:rsidR="00E53DCB" w:rsidRDefault="00E53DCB" w:rsidP="00261C12">
            <w:pPr>
              <w:pStyle w:val="TAH"/>
            </w:pPr>
            <w:r>
              <w:t>Operating band</w:t>
            </w:r>
          </w:p>
        </w:tc>
        <w:tc>
          <w:tcPr>
            <w:tcW w:w="1031" w:type="dxa"/>
            <w:shd w:val="clear" w:color="auto" w:fill="auto"/>
          </w:tcPr>
          <w:p w14:paraId="121B6080" w14:textId="77777777" w:rsidR="00E53DCB" w:rsidRPr="00C45F7E" w:rsidRDefault="00E53DCB" w:rsidP="00261C12">
            <w:pPr>
              <w:pStyle w:val="TAH"/>
            </w:pPr>
            <w:r>
              <w:t>F</w:t>
            </w:r>
            <w:r w:rsidRPr="00261C12">
              <w:rPr>
                <w:vertAlign w:val="subscript"/>
              </w:rPr>
              <w:t>step,1</w:t>
            </w:r>
            <w:r>
              <w:br/>
              <w:t>[GHz]</w:t>
            </w:r>
          </w:p>
        </w:tc>
        <w:tc>
          <w:tcPr>
            <w:tcW w:w="1134" w:type="dxa"/>
            <w:shd w:val="clear" w:color="auto" w:fill="auto"/>
          </w:tcPr>
          <w:p w14:paraId="3F51DA1B" w14:textId="77777777" w:rsidR="00E53DCB" w:rsidRDefault="00E53DCB" w:rsidP="00261C12">
            <w:pPr>
              <w:pStyle w:val="TAH"/>
            </w:pPr>
            <w:r>
              <w:t>F</w:t>
            </w:r>
            <w:r w:rsidRPr="00261C12">
              <w:rPr>
                <w:vertAlign w:val="subscript"/>
              </w:rPr>
              <w:t>step,2</w:t>
            </w:r>
            <w:r>
              <w:br/>
              <w:t>[GHz]</w:t>
            </w:r>
          </w:p>
        </w:tc>
        <w:tc>
          <w:tcPr>
            <w:tcW w:w="1134" w:type="dxa"/>
            <w:shd w:val="clear" w:color="auto" w:fill="auto"/>
          </w:tcPr>
          <w:p w14:paraId="4229075A" w14:textId="77777777" w:rsidR="00E53DCB" w:rsidRDefault="00E53DCB" w:rsidP="00C45F7E">
            <w:pPr>
              <w:pStyle w:val="TAH"/>
            </w:pPr>
            <w:r>
              <w:t>F</w:t>
            </w:r>
            <w:r w:rsidRPr="00261C12">
              <w:rPr>
                <w:vertAlign w:val="subscript"/>
              </w:rPr>
              <w:t>step,3</w:t>
            </w:r>
            <w:r>
              <w:br/>
              <w:t>[GHz]</w:t>
            </w:r>
          </w:p>
        </w:tc>
        <w:tc>
          <w:tcPr>
            <w:tcW w:w="1196" w:type="dxa"/>
            <w:shd w:val="clear" w:color="auto" w:fill="auto"/>
          </w:tcPr>
          <w:p w14:paraId="3B0BD911" w14:textId="77777777" w:rsidR="00E53DCB" w:rsidRDefault="00E53DCB" w:rsidP="00C45F7E">
            <w:pPr>
              <w:pStyle w:val="TAH"/>
            </w:pPr>
            <w:r>
              <w:t>F</w:t>
            </w:r>
            <w:r w:rsidRPr="00261C12">
              <w:rPr>
                <w:vertAlign w:val="subscript"/>
              </w:rPr>
              <w:t>step,4</w:t>
            </w:r>
            <w:r>
              <w:br/>
              <w:t>[GHz]</w:t>
            </w:r>
          </w:p>
        </w:tc>
        <w:tc>
          <w:tcPr>
            <w:tcW w:w="1019" w:type="dxa"/>
            <w:shd w:val="clear" w:color="auto" w:fill="auto"/>
          </w:tcPr>
          <w:p w14:paraId="5093450E" w14:textId="77777777" w:rsidR="00E53DCB" w:rsidRDefault="00E53DCB" w:rsidP="00261C12">
            <w:pPr>
              <w:pStyle w:val="TAH"/>
            </w:pPr>
            <w:r>
              <w:t>F</w:t>
            </w:r>
            <w:r w:rsidRPr="00261C12">
              <w:rPr>
                <w:vertAlign w:val="subscript"/>
              </w:rPr>
              <w:t>step,5</w:t>
            </w:r>
            <w:r>
              <w:br/>
              <w:t>[GHz]</w:t>
            </w:r>
          </w:p>
        </w:tc>
        <w:tc>
          <w:tcPr>
            <w:tcW w:w="1134" w:type="dxa"/>
            <w:shd w:val="clear" w:color="auto" w:fill="auto"/>
          </w:tcPr>
          <w:p w14:paraId="3CCD08CC" w14:textId="77777777" w:rsidR="00E53DCB" w:rsidRDefault="00E53DCB" w:rsidP="00261C12">
            <w:pPr>
              <w:pStyle w:val="TAH"/>
            </w:pPr>
            <w:r>
              <w:t>F</w:t>
            </w:r>
            <w:r w:rsidRPr="00261C12">
              <w:rPr>
                <w:vertAlign w:val="subscript"/>
              </w:rPr>
              <w:t>step,6</w:t>
            </w:r>
            <w:r>
              <w:br/>
              <w:t>[GHz]</w:t>
            </w:r>
          </w:p>
        </w:tc>
      </w:tr>
      <w:tr w:rsidR="00261C12" w14:paraId="4BF88F19" w14:textId="77777777" w:rsidTr="00261C12">
        <w:trPr>
          <w:jc w:val="center"/>
        </w:trPr>
        <w:tc>
          <w:tcPr>
            <w:tcW w:w="1912" w:type="dxa"/>
            <w:shd w:val="clear" w:color="auto" w:fill="auto"/>
          </w:tcPr>
          <w:p w14:paraId="7D667DD8" w14:textId="77777777" w:rsidR="00E53DCB" w:rsidRDefault="00E53DCB" w:rsidP="00261C12">
            <w:pPr>
              <w:pStyle w:val="TAC"/>
            </w:pPr>
            <w:r>
              <w:t>n258</w:t>
            </w:r>
          </w:p>
        </w:tc>
        <w:tc>
          <w:tcPr>
            <w:tcW w:w="1031" w:type="dxa"/>
            <w:shd w:val="clear" w:color="auto" w:fill="auto"/>
          </w:tcPr>
          <w:p w14:paraId="5FF6D468" w14:textId="77777777" w:rsidR="00E53DCB" w:rsidRDefault="00E53DCB" w:rsidP="00261C12">
            <w:pPr>
              <w:pStyle w:val="TAC"/>
            </w:pPr>
            <w:r>
              <w:t>18</w:t>
            </w:r>
          </w:p>
        </w:tc>
        <w:tc>
          <w:tcPr>
            <w:tcW w:w="1134" w:type="dxa"/>
            <w:shd w:val="clear" w:color="auto" w:fill="auto"/>
          </w:tcPr>
          <w:p w14:paraId="1B3F8D40" w14:textId="77777777" w:rsidR="00E53DCB" w:rsidRDefault="00E53DCB" w:rsidP="00261C12">
            <w:pPr>
              <w:pStyle w:val="TAC"/>
            </w:pPr>
            <w:r>
              <w:t>[21]</w:t>
            </w:r>
          </w:p>
        </w:tc>
        <w:tc>
          <w:tcPr>
            <w:tcW w:w="1134" w:type="dxa"/>
            <w:shd w:val="clear" w:color="auto" w:fill="auto"/>
          </w:tcPr>
          <w:p w14:paraId="701A8034" w14:textId="77777777" w:rsidR="00E53DCB" w:rsidRDefault="00E53DCB" w:rsidP="00C45F7E">
            <w:pPr>
              <w:pStyle w:val="TAC"/>
            </w:pPr>
            <w:r>
              <w:t>22,75</w:t>
            </w:r>
          </w:p>
        </w:tc>
        <w:tc>
          <w:tcPr>
            <w:tcW w:w="1196" w:type="dxa"/>
            <w:shd w:val="clear" w:color="auto" w:fill="auto"/>
          </w:tcPr>
          <w:p w14:paraId="43B52E52" w14:textId="77777777" w:rsidR="00E53DCB" w:rsidRDefault="00E53DCB" w:rsidP="00C45F7E">
            <w:pPr>
              <w:pStyle w:val="TAC"/>
            </w:pPr>
            <w:r>
              <w:t>29</w:t>
            </w:r>
          </w:p>
        </w:tc>
        <w:tc>
          <w:tcPr>
            <w:tcW w:w="1019" w:type="dxa"/>
            <w:shd w:val="clear" w:color="auto" w:fill="auto"/>
          </w:tcPr>
          <w:p w14:paraId="18BEDB21" w14:textId="77777777" w:rsidR="00E53DCB" w:rsidRDefault="00E53DCB" w:rsidP="00261C12">
            <w:pPr>
              <w:pStyle w:val="TAC"/>
            </w:pPr>
            <w:r>
              <w:t>[30.75]</w:t>
            </w:r>
          </w:p>
        </w:tc>
        <w:tc>
          <w:tcPr>
            <w:tcW w:w="1134" w:type="dxa"/>
            <w:shd w:val="clear" w:color="auto" w:fill="auto"/>
          </w:tcPr>
          <w:p w14:paraId="6CE94492" w14:textId="77777777" w:rsidR="00E53DCB" w:rsidRDefault="00E53DCB" w:rsidP="00261C12">
            <w:pPr>
              <w:pStyle w:val="TAC"/>
            </w:pPr>
            <w:r>
              <w:t>[40.5]</w:t>
            </w:r>
          </w:p>
        </w:tc>
      </w:tr>
      <w:tr w:rsidR="00261C12" w14:paraId="552901EB" w14:textId="77777777" w:rsidTr="00261C12">
        <w:trPr>
          <w:jc w:val="center"/>
        </w:trPr>
        <w:tc>
          <w:tcPr>
            <w:tcW w:w="1912" w:type="dxa"/>
            <w:shd w:val="clear" w:color="auto" w:fill="auto"/>
          </w:tcPr>
          <w:p w14:paraId="199687E1" w14:textId="77777777" w:rsidR="00E53DCB" w:rsidRPr="006E5526" w:rsidRDefault="00E53DCB" w:rsidP="00C45F7E">
            <w:pPr>
              <w:pStyle w:val="TAC"/>
            </w:pPr>
            <w:r w:rsidRPr="006E5526">
              <w:t>n260</w:t>
            </w:r>
          </w:p>
        </w:tc>
        <w:tc>
          <w:tcPr>
            <w:tcW w:w="1031" w:type="dxa"/>
            <w:shd w:val="clear" w:color="auto" w:fill="auto"/>
          </w:tcPr>
          <w:p w14:paraId="3EE77564" w14:textId="77777777" w:rsidR="00E53DCB" w:rsidRDefault="00E53DCB" w:rsidP="00C45F7E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508F4F13" w14:textId="77777777" w:rsidR="00E53DCB" w:rsidRDefault="00E53DCB" w:rsidP="00C45F7E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24D96C43" w14:textId="77777777" w:rsidR="00E53DCB" w:rsidRDefault="00E53DCB" w:rsidP="00C45F7E">
            <w:pPr>
              <w:pStyle w:val="TAC"/>
            </w:pPr>
          </w:p>
        </w:tc>
        <w:tc>
          <w:tcPr>
            <w:tcW w:w="1196" w:type="dxa"/>
            <w:shd w:val="clear" w:color="auto" w:fill="auto"/>
          </w:tcPr>
          <w:p w14:paraId="441B1072" w14:textId="77777777" w:rsidR="00E53DCB" w:rsidRDefault="00E53DCB" w:rsidP="00C45F7E">
            <w:pPr>
              <w:pStyle w:val="TAC"/>
            </w:pPr>
          </w:p>
        </w:tc>
        <w:tc>
          <w:tcPr>
            <w:tcW w:w="1019" w:type="dxa"/>
            <w:shd w:val="clear" w:color="auto" w:fill="auto"/>
          </w:tcPr>
          <w:p w14:paraId="5D52B18A" w14:textId="77777777" w:rsidR="00E53DCB" w:rsidRDefault="00E53DCB" w:rsidP="00C45F7E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4871E9F4" w14:textId="77777777" w:rsidR="00E53DCB" w:rsidRDefault="00E53DCB" w:rsidP="00C45F7E">
            <w:pPr>
              <w:pStyle w:val="TAC"/>
            </w:pPr>
          </w:p>
        </w:tc>
      </w:tr>
    </w:tbl>
    <w:p w14:paraId="640545D4" w14:textId="77777777" w:rsidR="007B1EFE" w:rsidRDefault="007B1EFE" w:rsidP="00D740B1">
      <w:pPr>
        <w:pStyle w:val="BodyText"/>
        <w:rPr>
          <w:lang w:val="en-US"/>
        </w:rPr>
      </w:pPr>
    </w:p>
    <w:p w14:paraId="71E9B75C" w14:textId="3CA99B7B" w:rsidR="003E1240" w:rsidRPr="00DD412A" w:rsidRDefault="006E5526" w:rsidP="00DD412A">
      <w:pPr>
        <w:pStyle w:val="BodyText"/>
      </w:pPr>
      <w:r>
        <w:rPr>
          <w:lang w:val="en-US"/>
        </w:rPr>
        <w:t xml:space="preserve">Note that the existing value of </w:t>
      </w:r>
      <w:proofErr w:type="spellStart"/>
      <w:r w:rsidR="00907157">
        <w:rPr>
          <w:lang w:val="en-US"/>
        </w:rPr>
        <w:t>Δf</w:t>
      </w:r>
      <w:r w:rsidR="00907157" w:rsidRPr="00313F43">
        <w:rPr>
          <w:vertAlign w:val="subscript"/>
          <w:lang w:val="en-US"/>
        </w:rPr>
        <w:t>OBUE</w:t>
      </w:r>
      <w:proofErr w:type="spellEnd"/>
      <w:r w:rsidR="00907157">
        <w:rPr>
          <w:lang w:val="en-US"/>
        </w:rPr>
        <w:t xml:space="preserve"> = 1.5 GHz is used to define </w:t>
      </w:r>
      <w:r w:rsidR="00907157">
        <w:t>F</w:t>
      </w:r>
      <w:r w:rsidR="00907157" w:rsidRPr="00BC1DBF">
        <w:rPr>
          <w:vertAlign w:val="subscript"/>
        </w:rPr>
        <w:t>step,</w:t>
      </w:r>
      <w:r w:rsidR="00907157">
        <w:rPr>
          <w:vertAlign w:val="subscript"/>
        </w:rPr>
        <w:t>3</w:t>
      </w:r>
      <w:r w:rsidR="00907157">
        <w:rPr>
          <w:lang w:val="en-US"/>
        </w:rPr>
        <w:t xml:space="preserve"> and </w:t>
      </w:r>
      <w:r w:rsidR="00907157">
        <w:t>F</w:t>
      </w:r>
      <w:r w:rsidR="00907157" w:rsidRPr="00BC1DBF">
        <w:rPr>
          <w:vertAlign w:val="subscript"/>
        </w:rPr>
        <w:t>step,</w:t>
      </w:r>
      <w:r w:rsidR="00907157">
        <w:rPr>
          <w:vertAlign w:val="subscript"/>
        </w:rPr>
        <w:t>4</w:t>
      </w:r>
      <w:r w:rsidR="005150FA">
        <w:t xml:space="preserve"> for Band n258.</w:t>
      </w:r>
      <w:r w:rsidR="00907157">
        <w:t xml:space="preserve"> </w:t>
      </w:r>
      <w:proofErr w:type="gramStart"/>
      <w:r w:rsidR="00907157">
        <w:t>In order to</w:t>
      </w:r>
      <w:proofErr w:type="gramEnd"/>
      <w:r w:rsidR="00907157">
        <w:t xml:space="preserve"> make the</w:t>
      </w:r>
      <w:r w:rsidR="00036B88">
        <w:t xml:space="preserve"> </w:t>
      </w:r>
      <w:r w:rsidR="009E2399">
        <w:t xml:space="preserve">definition of </w:t>
      </w:r>
      <w:r w:rsidR="009E2399">
        <w:rPr>
          <w:lang w:val="en-US"/>
        </w:rPr>
        <w:t>Δf</w:t>
      </w:r>
      <w:r w:rsidR="009E2399" w:rsidRPr="00313F43">
        <w:rPr>
          <w:vertAlign w:val="subscript"/>
          <w:lang w:val="en-US"/>
        </w:rPr>
        <w:t>OBUE</w:t>
      </w:r>
      <w:r w:rsidR="009E2399">
        <w:t xml:space="preserve"> generic to all bands, the value of 1.5 GHz will have to be replaced with an equation</w:t>
      </w:r>
      <w:r w:rsidR="00DD412A">
        <w:t xml:space="preserve"> relating the symbol </w:t>
      </w:r>
      <w:r w:rsidR="00DD412A">
        <w:rPr>
          <w:lang w:val="en-US"/>
        </w:rPr>
        <w:t>Δf</w:t>
      </w:r>
      <w:r w:rsidR="00DD412A" w:rsidRPr="00313F43">
        <w:rPr>
          <w:vertAlign w:val="subscript"/>
          <w:lang w:val="en-US"/>
        </w:rPr>
        <w:t>OBUE</w:t>
      </w:r>
      <w:r w:rsidR="00DD412A">
        <w:rPr>
          <w:lang w:val="en-US"/>
        </w:rPr>
        <w:t> </w:t>
      </w:r>
      <w:r w:rsidR="00DD412A">
        <w:t>to the steps and the operating band edges</w:t>
      </w:r>
      <w:r w:rsidR="009E2399">
        <w:t>:</w:t>
      </w:r>
    </w:p>
    <w:p w14:paraId="7FFA4853" w14:textId="6FC7C68E" w:rsidR="009E2399" w:rsidRPr="00DD412A" w:rsidRDefault="00DD412A" w:rsidP="00DD412A">
      <w:pPr>
        <w:pStyle w:val="BodyText"/>
        <w:jc w:val="center"/>
        <w:rPr>
          <w:lang w:val="en-US"/>
        </w:rPr>
      </w:pPr>
      <w:r>
        <w:rPr>
          <w:lang w:val="en-US"/>
        </w:rPr>
        <w:t>Δf</w:t>
      </w:r>
      <w:r w:rsidRPr="00313F43">
        <w:rPr>
          <w:vertAlign w:val="subscript"/>
          <w:lang w:val="en-US"/>
        </w:rPr>
        <w:t>OBUE</w:t>
      </w:r>
      <w:r>
        <w:rPr>
          <w:lang w:val="en-US"/>
        </w:rPr>
        <w:t> </w:t>
      </w:r>
      <w:r w:rsidRPr="00DD412A">
        <w:t>= F</w:t>
      </w:r>
      <w:r w:rsidRPr="00DD412A">
        <w:rPr>
          <w:vertAlign w:val="subscript"/>
        </w:rPr>
        <w:t>DL,low</w:t>
      </w:r>
      <w:r w:rsidRPr="00DD412A">
        <w:t xml:space="preserve"> – F</w:t>
      </w:r>
      <w:r w:rsidRPr="00DD412A">
        <w:rPr>
          <w:vertAlign w:val="subscript"/>
        </w:rPr>
        <w:t>step,3</w:t>
      </w:r>
      <w:r w:rsidRPr="00DD412A">
        <w:t xml:space="preserve"> = F</w:t>
      </w:r>
      <w:r w:rsidRPr="00DD412A">
        <w:rPr>
          <w:vertAlign w:val="subscript"/>
        </w:rPr>
        <w:t>step,4</w:t>
      </w:r>
      <w:r w:rsidRPr="00DD412A">
        <w:t xml:space="preserve"> – F</w:t>
      </w:r>
      <w:r w:rsidRPr="00DD412A">
        <w:rPr>
          <w:vertAlign w:val="subscript"/>
        </w:rPr>
        <w:t>DL,high</w:t>
      </w:r>
    </w:p>
    <w:p w14:paraId="738DDD14" w14:textId="42D5D727" w:rsidR="003E1240" w:rsidRDefault="00610B34" w:rsidP="00D740B1">
      <w:pPr>
        <w:pStyle w:val="BodyText"/>
        <w:rPr>
          <w:lang w:val="en-US"/>
        </w:rPr>
      </w:pPr>
      <w:r>
        <w:rPr>
          <w:lang w:val="en-US"/>
        </w:rPr>
        <w:t>The way-forward for drafting the spurious emission limts can be summarized as follows:</w:t>
      </w:r>
    </w:p>
    <w:p w14:paraId="7885E72C" w14:textId="36ECC1F0" w:rsidR="00610B34" w:rsidRPr="00A81EEC" w:rsidRDefault="00610B34" w:rsidP="00610B34">
      <w:pPr>
        <w:pStyle w:val="BodyText"/>
        <w:ind w:left="1560" w:hanging="1134"/>
        <w:rPr>
          <w:lang w:val="en-US"/>
        </w:rPr>
      </w:pPr>
      <w:r>
        <w:rPr>
          <w:b/>
          <w:lang w:val="en-US"/>
        </w:rPr>
        <w:t>Proposal 2</w:t>
      </w:r>
      <w:r w:rsidRPr="001B44C4">
        <w:rPr>
          <w:b/>
          <w:lang w:val="en-US"/>
        </w:rPr>
        <w:t>:</w:t>
      </w:r>
      <w:r>
        <w:rPr>
          <w:lang w:val="en-US"/>
        </w:rPr>
        <w:tab/>
        <w:t>The spurious emission limits</w:t>
      </w:r>
      <w:r w:rsidR="00B55DE5">
        <w:rPr>
          <w:lang w:val="en-US"/>
        </w:rPr>
        <w:t xml:space="preserve"> are tabulated using a number of “steps”, where the frequency of each step is</w:t>
      </w:r>
      <w:r w:rsidR="00BD5D31">
        <w:rPr>
          <w:lang w:val="en-US"/>
        </w:rPr>
        <w:t xml:space="preserve"> defined in a separate table per freqeuncy band. The existing variable Δf</w:t>
      </w:r>
      <w:r w:rsidR="00BD5D31" w:rsidRPr="00313F43">
        <w:rPr>
          <w:vertAlign w:val="subscript"/>
          <w:lang w:val="en-US"/>
        </w:rPr>
        <w:t>OBUE</w:t>
      </w:r>
      <w:r w:rsidR="00BD5D31">
        <w:rPr>
          <w:lang w:val="en-US"/>
        </w:rPr>
        <w:t xml:space="preserve"> is defined using the steps and the operating band edges, aligned with </w:t>
      </w:r>
      <w:r w:rsidR="00FF2EB8">
        <w:rPr>
          <w:lang w:val="en-US"/>
        </w:rPr>
        <w:t xml:space="preserve">the </w:t>
      </w:r>
      <w:r w:rsidR="00BD5D31">
        <w:rPr>
          <w:lang w:val="en-US"/>
        </w:rPr>
        <w:t>present</w:t>
      </w:r>
      <w:r w:rsidR="00FF2EB8">
        <w:rPr>
          <w:lang w:val="en-US"/>
        </w:rPr>
        <w:t>ly defined value</w:t>
      </w:r>
      <w:r w:rsidR="000D775B">
        <w:rPr>
          <w:lang w:val="en-US"/>
        </w:rPr>
        <w:t xml:space="preserve"> for Band n258</w:t>
      </w:r>
      <w:r>
        <w:rPr>
          <w:lang w:val="en-US"/>
        </w:rPr>
        <w:t>.</w:t>
      </w:r>
    </w:p>
    <w:p w14:paraId="20ABC3DE" w14:textId="3D4E66AC" w:rsidR="00610B34" w:rsidRDefault="0034383B" w:rsidP="00D740B1">
      <w:pPr>
        <w:pStyle w:val="BodyText"/>
        <w:rPr>
          <w:lang w:val="en-US"/>
        </w:rPr>
      </w:pPr>
      <w:r>
        <w:rPr>
          <w:lang w:val="en-US"/>
        </w:rPr>
        <w:lastRenderedPageBreak/>
        <w:t xml:space="preserve">Note that </w:t>
      </w:r>
      <w:r w:rsidR="00087438">
        <w:rPr>
          <w:lang w:val="en-US"/>
        </w:rPr>
        <w:t>in addition to introducing the spurious emission limits, the following updates are needed:</w:t>
      </w:r>
    </w:p>
    <w:p w14:paraId="03C5AF14" w14:textId="00AD5C4C" w:rsidR="00087438" w:rsidRDefault="00087438" w:rsidP="00087438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>Update of the definition of Δf</w:t>
      </w:r>
      <w:r w:rsidRPr="00313F43">
        <w:rPr>
          <w:vertAlign w:val="subscript"/>
          <w:lang w:val="en-US"/>
        </w:rPr>
        <w:t>OBUE</w:t>
      </w:r>
      <w:r w:rsidR="007C4475" w:rsidRPr="008869BB">
        <w:rPr>
          <w:lang w:val="en-US"/>
        </w:rPr>
        <w:t xml:space="preserve"> for </w:t>
      </w:r>
      <w:r w:rsidR="007C4475" w:rsidRPr="00923327">
        <w:rPr>
          <w:lang w:val="en-US"/>
        </w:rPr>
        <w:t>FR2</w:t>
      </w:r>
      <w:r>
        <w:rPr>
          <w:lang w:val="en-US"/>
        </w:rPr>
        <w:t>.</w:t>
      </w:r>
    </w:p>
    <w:p w14:paraId="419688A4" w14:textId="71D486C3" w:rsidR="00087438" w:rsidRDefault="00087438" w:rsidP="00087438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Revision of OTA OBUE </w:t>
      </w:r>
      <w:r w:rsidR="002E0E4B">
        <w:rPr>
          <w:lang w:val="en-US"/>
        </w:rPr>
        <w:t>requirement</w:t>
      </w:r>
      <w:r>
        <w:rPr>
          <w:lang w:val="en-US"/>
        </w:rPr>
        <w:t xml:space="preserve"> for FR2, where Category A and Category B limits are separated. </w:t>
      </w:r>
    </w:p>
    <w:p w14:paraId="005A1E27" w14:textId="3D7FB3B3" w:rsidR="00087438" w:rsidRDefault="00087438" w:rsidP="00087438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>The stricter -15 dBm/MHz limit needs to be introduced for Category B</w:t>
      </w:r>
      <w:r w:rsidR="00BA20BE">
        <w:rPr>
          <w:lang w:val="en-US"/>
        </w:rPr>
        <w:t xml:space="preserve"> OBUE</w:t>
      </w:r>
      <w:r>
        <w:rPr>
          <w:lang w:val="en-US"/>
        </w:rPr>
        <w:t>.</w:t>
      </w:r>
    </w:p>
    <w:p w14:paraId="63E5CFF7" w14:textId="223C61BF" w:rsidR="005563F2" w:rsidRDefault="002E0E4B" w:rsidP="00087438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>Statements that application of</w:t>
      </w:r>
      <w:r w:rsidR="005563F2">
        <w:rPr>
          <w:lang w:val="en-US"/>
        </w:rPr>
        <w:t xml:space="preserve"> </w:t>
      </w:r>
      <w:r>
        <w:rPr>
          <w:lang w:val="en-US"/>
        </w:rPr>
        <w:t>Category</w:t>
      </w:r>
      <w:r w:rsidR="005563F2">
        <w:rPr>
          <w:lang w:val="en-US"/>
        </w:rPr>
        <w:t xml:space="preserve"> A and Category B limits</w:t>
      </w:r>
      <w:r>
        <w:rPr>
          <w:lang w:val="en-US"/>
        </w:rPr>
        <w:t xml:space="preserve"> is the same for OBUE and Spurious emission subclauses.</w:t>
      </w:r>
    </w:p>
    <w:p w14:paraId="4490A83A" w14:textId="77777777" w:rsidR="00087438" w:rsidRDefault="00087438" w:rsidP="00087438">
      <w:pPr>
        <w:pStyle w:val="BodyText"/>
        <w:rPr>
          <w:lang w:val="en-US"/>
        </w:rPr>
      </w:pPr>
    </w:p>
    <w:p w14:paraId="1677C7DF" w14:textId="6AA3F074" w:rsidR="00551262" w:rsidRPr="00A81EEC" w:rsidRDefault="00551262" w:rsidP="00B445A4">
      <w:pPr>
        <w:pStyle w:val="Heading1"/>
        <w:rPr>
          <w:lang w:val="en-US"/>
        </w:rPr>
      </w:pPr>
      <w:r w:rsidRPr="00A81EEC">
        <w:rPr>
          <w:lang w:val="en-US"/>
        </w:rPr>
        <w:t xml:space="preserve"> </w:t>
      </w:r>
      <w:r w:rsidR="00896C6F" w:rsidRPr="00A81EEC">
        <w:rPr>
          <w:lang w:val="en-US"/>
        </w:rPr>
        <w:t>Proposal</w:t>
      </w:r>
    </w:p>
    <w:p w14:paraId="0C3B6E83" w14:textId="677528DF" w:rsidR="00B445A4" w:rsidRDefault="00FF2EB8" w:rsidP="00896C6F">
      <w:pPr>
        <w:pStyle w:val="BodyText"/>
        <w:rPr>
          <w:lang w:val="en-US"/>
        </w:rPr>
      </w:pPr>
      <w:r>
        <w:rPr>
          <w:lang w:val="en-US"/>
        </w:rPr>
        <w:t>The following is proposed</w:t>
      </w:r>
    </w:p>
    <w:p w14:paraId="3D8C6A2D" w14:textId="77777777" w:rsidR="00453F69" w:rsidRPr="00A81EEC" w:rsidRDefault="00453F69" w:rsidP="00453F69">
      <w:pPr>
        <w:pStyle w:val="BodyText"/>
        <w:ind w:left="1560" w:hanging="1134"/>
        <w:rPr>
          <w:lang w:val="en-US"/>
        </w:rPr>
      </w:pPr>
      <w:r>
        <w:rPr>
          <w:b/>
          <w:lang w:val="en-US"/>
        </w:rPr>
        <w:t>Proposal 1</w:t>
      </w:r>
      <w:r w:rsidRPr="001B44C4">
        <w:rPr>
          <w:b/>
          <w:lang w:val="en-US"/>
        </w:rPr>
        <w:t>:</w:t>
      </w:r>
      <w:r>
        <w:rPr>
          <w:lang w:val="en-US"/>
        </w:rPr>
        <w:tab/>
        <w:t>The band-centric approach for OBUE is kept for Category B spurious emissions and the OBUE is defined out to an offset corresponding to Fc in Figure 1, thereby keeping the present definition of Δf</w:t>
      </w:r>
      <w:r w:rsidRPr="00313F43">
        <w:rPr>
          <w:vertAlign w:val="subscript"/>
          <w:lang w:val="en-US"/>
        </w:rPr>
        <w:t>OBUE</w:t>
      </w:r>
      <w:r>
        <w:rPr>
          <w:lang w:val="en-US"/>
        </w:rPr>
        <w:t>.</w:t>
      </w:r>
    </w:p>
    <w:p w14:paraId="5511CAD4" w14:textId="77777777" w:rsidR="008869BB" w:rsidRPr="00A81EEC" w:rsidRDefault="008869BB" w:rsidP="008869BB">
      <w:pPr>
        <w:pStyle w:val="BodyText"/>
        <w:ind w:left="1560" w:hanging="1134"/>
        <w:rPr>
          <w:lang w:val="en-US"/>
        </w:rPr>
      </w:pPr>
      <w:r>
        <w:rPr>
          <w:b/>
          <w:lang w:val="en-US"/>
        </w:rPr>
        <w:t>Proposal 2</w:t>
      </w:r>
      <w:r w:rsidRPr="001B44C4">
        <w:rPr>
          <w:b/>
          <w:lang w:val="en-US"/>
        </w:rPr>
        <w:t>:</w:t>
      </w:r>
      <w:r>
        <w:rPr>
          <w:lang w:val="en-US"/>
        </w:rPr>
        <w:tab/>
        <w:t xml:space="preserve">The spurious emission limits are tabulated using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“steps”, where the frequency of each step is defined in a separate table per freqeuncy band. The existing variable </w:t>
      </w:r>
      <w:proofErr w:type="spellStart"/>
      <w:r>
        <w:rPr>
          <w:lang w:val="en-US"/>
        </w:rPr>
        <w:t>Δf</w:t>
      </w:r>
      <w:r w:rsidRPr="00313F43">
        <w:rPr>
          <w:vertAlign w:val="subscript"/>
          <w:lang w:val="en-US"/>
        </w:rPr>
        <w:t>OBUE</w:t>
      </w:r>
      <w:proofErr w:type="spellEnd"/>
      <w:r>
        <w:rPr>
          <w:lang w:val="en-US"/>
        </w:rPr>
        <w:t> is defined using the steps and the operating band edges, aligned with the presently defined value for Band n258.</w:t>
      </w:r>
    </w:p>
    <w:p w14:paraId="66B5D57D" w14:textId="7E1BC9C2" w:rsidR="003A3E0E" w:rsidRDefault="003A3E0E" w:rsidP="00896C6F">
      <w:pPr>
        <w:pStyle w:val="BodyText"/>
        <w:rPr>
          <w:lang w:val="en-US"/>
        </w:rPr>
      </w:pPr>
      <w:r>
        <w:rPr>
          <w:lang w:val="en-US"/>
        </w:rPr>
        <w:t xml:space="preserve">Draft CRs demonstrating the </w:t>
      </w:r>
      <w:r w:rsidR="00271B24">
        <w:rPr>
          <w:lang w:val="en-US"/>
        </w:rPr>
        <w:t>proposals</w:t>
      </w:r>
      <w:r>
        <w:rPr>
          <w:lang w:val="en-US"/>
        </w:rPr>
        <w:t xml:space="preserve"> are given for discussion in [4]</w:t>
      </w:r>
      <w:r w:rsidR="00453F69">
        <w:rPr>
          <w:lang w:val="en-US"/>
        </w:rPr>
        <w:t xml:space="preserve"> </w:t>
      </w:r>
      <w:r>
        <w:rPr>
          <w:lang w:val="en-US"/>
        </w:rPr>
        <w:t xml:space="preserve">for the core specifications and in [5] for the </w:t>
      </w:r>
      <w:r w:rsidR="00453F69">
        <w:rPr>
          <w:lang w:val="en-US"/>
        </w:rPr>
        <w:t>conformance</w:t>
      </w:r>
      <w:r w:rsidR="003342EA">
        <w:rPr>
          <w:lang w:val="en-US"/>
        </w:rPr>
        <w:t xml:space="preserve"> test</w:t>
      </w:r>
      <w:r>
        <w:rPr>
          <w:lang w:val="en-US"/>
        </w:rPr>
        <w:t xml:space="preserve"> specification. Note that these may need revision, depending on further discussions and the </w:t>
      </w:r>
      <w:r w:rsidR="00271B24">
        <w:rPr>
          <w:lang w:val="en-US"/>
        </w:rPr>
        <w:t>outcome in the final version of ERC Recommendation 74-01.</w:t>
      </w:r>
    </w:p>
    <w:p w14:paraId="0B18082C" w14:textId="77777777" w:rsidR="00F10549" w:rsidRPr="00B445A4" w:rsidRDefault="00F10549" w:rsidP="00896C6F">
      <w:pPr>
        <w:pStyle w:val="BodyText"/>
        <w:rPr>
          <w:lang w:val="en-US"/>
        </w:rPr>
      </w:pPr>
      <w:bookmarkStart w:id="1" w:name="_GoBack"/>
      <w:bookmarkEnd w:id="1"/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5D735B6E" w14:textId="77777777" w:rsidR="00A761AF" w:rsidRDefault="00A761AF" w:rsidP="00A761A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995735">
        <w:rPr>
          <w:lang w:val="en-US"/>
        </w:rPr>
        <w:t>R4-1901698, "Status of Category B spurious emissions after ECC SE21 meeting #104." (Ericsson).</w:t>
      </w:r>
    </w:p>
    <w:p w14:paraId="2D878279" w14:textId="77777777" w:rsidR="00A761AF" w:rsidRPr="00F40D88" w:rsidRDefault="00A761AF" w:rsidP="00A761A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>
        <w:rPr>
          <w:lang w:val="en-US"/>
        </w:rPr>
        <w:t>CEPT/ECC, “</w:t>
      </w:r>
      <w:r w:rsidRPr="008101D5">
        <w:rPr>
          <w:lang w:val="en-US"/>
        </w:rPr>
        <w:t>Draft Revision of ERC Recommendation 74-01</w:t>
      </w:r>
      <w:r>
        <w:rPr>
          <w:lang w:val="en-US"/>
        </w:rPr>
        <w:t xml:space="preserve">”, </w:t>
      </w:r>
      <w:r w:rsidRPr="00CC0309">
        <w:rPr>
          <w:i/>
          <w:lang w:val="en-US"/>
        </w:rPr>
        <w:t>for public consultation until 01-04.2019</w:t>
      </w:r>
      <w:r>
        <w:rPr>
          <w:lang w:val="en-US"/>
        </w:rPr>
        <w:t>,</w:t>
      </w:r>
      <w:r w:rsidRPr="00E05916">
        <w:rPr>
          <w:lang w:val="en-US"/>
        </w:rPr>
        <w:t xml:space="preserve"> (</w:t>
      </w:r>
      <w:hyperlink r:id="rId10" w:history="1">
        <w:r w:rsidRPr="00E05916">
          <w:rPr>
            <w:rStyle w:val="Hyperlink"/>
            <w:lang w:val="en-US"/>
          </w:rPr>
          <w:t>URL</w:t>
        </w:r>
      </w:hyperlink>
      <w:r w:rsidRPr="00E05916">
        <w:rPr>
          <w:lang w:val="en-US"/>
        </w:rPr>
        <w:t>)</w:t>
      </w:r>
      <w:r>
        <w:rPr>
          <w:lang w:val="en-US"/>
        </w:rPr>
        <w:t>.</w:t>
      </w:r>
    </w:p>
    <w:p w14:paraId="4F0C5FB1" w14:textId="583BDF47" w:rsidR="00637023" w:rsidRDefault="00A761AF" w:rsidP="00AB553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>
        <w:rPr>
          <w:lang w:val="en-US"/>
        </w:rPr>
        <w:t>CEPT/ECC, “</w:t>
      </w:r>
      <w:r w:rsidRPr="00656381">
        <w:rPr>
          <w:lang w:val="en-US"/>
        </w:rPr>
        <w:t>Cover note on ERC Recommendation 74-01</w:t>
      </w:r>
      <w:r>
        <w:rPr>
          <w:lang w:val="en-US"/>
        </w:rPr>
        <w:t xml:space="preserve">”, </w:t>
      </w:r>
      <w:r w:rsidRPr="007448E6">
        <w:rPr>
          <w:i/>
          <w:lang w:val="en-US"/>
        </w:rPr>
        <w:t>attached to public consultation of ERC 74-01</w:t>
      </w:r>
      <w:r>
        <w:rPr>
          <w:lang w:val="en-US"/>
        </w:rPr>
        <w:t>, (</w:t>
      </w:r>
      <w:hyperlink r:id="rId11" w:history="1">
        <w:r w:rsidRPr="007448E6">
          <w:rPr>
            <w:rStyle w:val="Hyperlink"/>
            <w:lang w:val="en-US"/>
          </w:rPr>
          <w:t>URL</w:t>
        </w:r>
      </w:hyperlink>
      <w:r>
        <w:rPr>
          <w:lang w:val="en-US"/>
        </w:rPr>
        <w:t>).</w:t>
      </w:r>
    </w:p>
    <w:p w14:paraId="0BF1970A" w14:textId="52B29D51" w:rsidR="008F4026" w:rsidRDefault="005615A0" w:rsidP="00AB553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5615A0">
        <w:rPr>
          <w:lang w:val="en-US"/>
        </w:rPr>
        <w:t>R4-1904059, "Draft CR to TS 38.104 on Spurious emission Category B in FR2" (Ericsson).</w:t>
      </w:r>
    </w:p>
    <w:p w14:paraId="4C60B78D" w14:textId="1EC81D61" w:rsidR="008F4026" w:rsidRDefault="00F10549" w:rsidP="00AB553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F10549">
        <w:rPr>
          <w:lang w:val="en-US"/>
        </w:rPr>
        <w:t>R4-1904060, "Draft CR to TS 38.141-2 on Spurious emission Category B in FR2" (Ericsson).</w:t>
      </w:r>
    </w:p>
    <w:p w14:paraId="03D21362" w14:textId="53030958" w:rsidR="0082364F" w:rsidRDefault="0082364F" w:rsidP="00AB553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82364F">
        <w:rPr>
          <w:lang w:val="en-US"/>
        </w:rPr>
        <w:t>R4-1900302, "FR2 EU Cate B emission requirement" (Samsung).</w:t>
      </w:r>
    </w:p>
    <w:p w14:paraId="0403987B" w14:textId="77777777" w:rsidR="00AB553A" w:rsidRPr="00AB553A" w:rsidRDefault="00AB553A" w:rsidP="00AB553A">
      <w:pPr>
        <w:pStyle w:val="EX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0C8FA" w14:textId="77777777" w:rsidR="00A14408" w:rsidRDefault="00A14408">
      <w:r>
        <w:separator/>
      </w:r>
    </w:p>
  </w:endnote>
  <w:endnote w:type="continuationSeparator" w:id="0">
    <w:p w14:paraId="5FFA8168" w14:textId="77777777" w:rsidR="00A14408" w:rsidRDefault="00A1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BFD99" w14:textId="77777777" w:rsidR="00A14408" w:rsidRDefault="00A14408">
      <w:r>
        <w:separator/>
      </w:r>
    </w:p>
  </w:footnote>
  <w:footnote w:type="continuationSeparator" w:id="0">
    <w:p w14:paraId="6D30DE39" w14:textId="77777777" w:rsidR="00A14408" w:rsidRDefault="00A14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19E7BFB"/>
    <w:multiLevelType w:val="hybridMultilevel"/>
    <w:tmpl w:val="4694315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1D93B6A"/>
    <w:multiLevelType w:val="hybridMultilevel"/>
    <w:tmpl w:val="193C78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076C1"/>
    <w:multiLevelType w:val="hybridMultilevel"/>
    <w:tmpl w:val="17AC89E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911E7F"/>
    <w:multiLevelType w:val="hybridMultilevel"/>
    <w:tmpl w:val="2FAE7A9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3"/>
  </w:num>
  <w:num w:numId="5">
    <w:abstractNumId w:val="11"/>
  </w:num>
  <w:num w:numId="6">
    <w:abstractNumId w:val="17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  <w:num w:numId="16">
    <w:abstractNumId w:val="16"/>
  </w:num>
  <w:num w:numId="17">
    <w:abstractNumId w:val="12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2B48"/>
    <w:rsid w:val="000237F0"/>
    <w:rsid w:val="00036B88"/>
    <w:rsid w:val="00037BA8"/>
    <w:rsid w:val="00047F45"/>
    <w:rsid w:val="0006072E"/>
    <w:rsid w:val="00063B5C"/>
    <w:rsid w:val="00067B1B"/>
    <w:rsid w:val="000722AA"/>
    <w:rsid w:val="00087438"/>
    <w:rsid w:val="0009649C"/>
    <w:rsid w:val="000A5706"/>
    <w:rsid w:val="000B10FE"/>
    <w:rsid w:val="000C5F61"/>
    <w:rsid w:val="000D464E"/>
    <w:rsid w:val="000D775B"/>
    <w:rsid w:val="000E324A"/>
    <w:rsid w:val="000E532E"/>
    <w:rsid w:val="000E5D87"/>
    <w:rsid w:val="000F1261"/>
    <w:rsid w:val="000F41F1"/>
    <w:rsid w:val="000F7F74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6510"/>
    <w:rsid w:val="00187095"/>
    <w:rsid w:val="001909A3"/>
    <w:rsid w:val="001B2B7D"/>
    <w:rsid w:val="001B44C4"/>
    <w:rsid w:val="001C758F"/>
    <w:rsid w:val="001D46A7"/>
    <w:rsid w:val="001E7A9E"/>
    <w:rsid w:val="001E7DC7"/>
    <w:rsid w:val="00205FAC"/>
    <w:rsid w:val="0021189D"/>
    <w:rsid w:val="00225AF7"/>
    <w:rsid w:val="00237340"/>
    <w:rsid w:val="002374EE"/>
    <w:rsid w:val="00241458"/>
    <w:rsid w:val="002453CB"/>
    <w:rsid w:val="00246998"/>
    <w:rsid w:val="00261C12"/>
    <w:rsid w:val="00270295"/>
    <w:rsid w:val="00271B24"/>
    <w:rsid w:val="00272990"/>
    <w:rsid w:val="00281DE1"/>
    <w:rsid w:val="00284566"/>
    <w:rsid w:val="00290443"/>
    <w:rsid w:val="00294CF5"/>
    <w:rsid w:val="002A118B"/>
    <w:rsid w:val="002A4267"/>
    <w:rsid w:val="002B6B5E"/>
    <w:rsid w:val="002B7E67"/>
    <w:rsid w:val="002C233C"/>
    <w:rsid w:val="002C781B"/>
    <w:rsid w:val="002D2D54"/>
    <w:rsid w:val="002E0E4B"/>
    <w:rsid w:val="002E3E1A"/>
    <w:rsid w:val="002F612D"/>
    <w:rsid w:val="00304E78"/>
    <w:rsid w:val="00306ED0"/>
    <w:rsid w:val="00313F43"/>
    <w:rsid w:val="00314711"/>
    <w:rsid w:val="00314EDE"/>
    <w:rsid w:val="00320346"/>
    <w:rsid w:val="00326A41"/>
    <w:rsid w:val="003271A7"/>
    <w:rsid w:val="003342EA"/>
    <w:rsid w:val="0034383B"/>
    <w:rsid w:val="00345BFE"/>
    <w:rsid w:val="00347B9D"/>
    <w:rsid w:val="00366695"/>
    <w:rsid w:val="003673C9"/>
    <w:rsid w:val="003710C4"/>
    <w:rsid w:val="003739C5"/>
    <w:rsid w:val="00376953"/>
    <w:rsid w:val="00376C4D"/>
    <w:rsid w:val="00377E84"/>
    <w:rsid w:val="00390BBB"/>
    <w:rsid w:val="003A3E0E"/>
    <w:rsid w:val="003B48F2"/>
    <w:rsid w:val="003C0934"/>
    <w:rsid w:val="003C5F90"/>
    <w:rsid w:val="003C6850"/>
    <w:rsid w:val="003D3111"/>
    <w:rsid w:val="003E1240"/>
    <w:rsid w:val="004017E5"/>
    <w:rsid w:val="00403B74"/>
    <w:rsid w:val="00405C7C"/>
    <w:rsid w:val="00425637"/>
    <w:rsid w:val="00431D7D"/>
    <w:rsid w:val="0043565D"/>
    <w:rsid w:val="0044598B"/>
    <w:rsid w:val="0044655B"/>
    <w:rsid w:val="00450BE2"/>
    <w:rsid w:val="00453F69"/>
    <w:rsid w:val="0045630F"/>
    <w:rsid w:val="004672AB"/>
    <w:rsid w:val="00480B55"/>
    <w:rsid w:val="004908D8"/>
    <w:rsid w:val="004926AD"/>
    <w:rsid w:val="00494070"/>
    <w:rsid w:val="00494B09"/>
    <w:rsid w:val="00496500"/>
    <w:rsid w:val="004A0574"/>
    <w:rsid w:val="004A1F0E"/>
    <w:rsid w:val="004A31C5"/>
    <w:rsid w:val="004A5351"/>
    <w:rsid w:val="004A71C1"/>
    <w:rsid w:val="004D2914"/>
    <w:rsid w:val="004D48EC"/>
    <w:rsid w:val="004E3328"/>
    <w:rsid w:val="004E6006"/>
    <w:rsid w:val="004F0707"/>
    <w:rsid w:val="00502A40"/>
    <w:rsid w:val="005150FA"/>
    <w:rsid w:val="00517860"/>
    <w:rsid w:val="0052219E"/>
    <w:rsid w:val="00524C96"/>
    <w:rsid w:val="00525365"/>
    <w:rsid w:val="005316F6"/>
    <w:rsid w:val="0054079D"/>
    <w:rsid w:val="00545B40"/>
    <w:rsid w:val="005474F0"/>
    <w:rsid w:val="00551262"/>
    <w:rsid w:val="00551524"/>
    <w:rsid w:val="00552900"/>
    <w:rsid w:val="005563F2"/>
    <w:rsid w:val="005615A0"/>
    <w:rsid w:val="00571FDC"/>
    <w:rsid w:val="00580C39"/>
    <w:rsid w:val="00583594"/>
    <w:rsid w:val="00586410"/>
    <w:rsid w:val="00592364"/>
    <w:rsid w:val="005A6088"/>
    <w:rsid w:val="005A7A0B"/>
    <w:rsid w:val="005C01CC"/>
    <w:rsid w:val="005D124B"/>
    <w:rsid w:val="005D1BBE"/>
    <w:rsid w:val="005D1D6A"/>
    <w:rsid w:val="005D2A94"/>
    <w:rsid w:val="005D4474"/>
    <w:rsid w:val="005E24CC"/>
    <w:rsid w:val="005E30A9"/>
    <w:rsid w:val="005E70DF"/>
    <w:rsid w:val="005E792F"/>
    <w:rsid w:val="005F0B32"/>
    <w:rsid w:val="006011A8"/>
    <w:rsid w:val="006066B0"/>
    <w:rsid w:val="00610B34"/>
    <w:rsid w:val="006112E8"/>
    <w:rsid w:val="006137E3"/>
    <w:rsid w:val="00617138"/>
    <w:rsid w:val="006179EA"/>
    <w:rsid w:val="00617A60"/>
    <w:rsid w:val="00621A69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5358"/>
    <w:rsid w:val="00685BF9"/>
    <w:rsid w:val="006926E0"/>
    <w:rsid w:val="006A412A"/>
    <w:rsid w:val="006A7D78"/>
    <w:rsid w:val="006B0700"/>
    <w:rsid w:val="006C543A"/>
    <w:rsid w:val="006D1494"/>
    <w:rsid w:val="006D6C66"/>
    <w:rsid w:val="006E5526"/>
    <w:rsid w:val="006E5BF2"/>
    <w:rsid w:val="006F3C5F"/>
    <w:rsid w:val="00701224"/>
    <w:rsid w:val="0070201D"/>
    <w:rsid w:val="007061AB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7514E"/>
    <w:rsid w:val="007A24F4"/>
    <w:rsid w:val="007A28D3"/>
    <w:rsid w:val="007A3D20"/>
    <w:rsid w:val="007B1EFE"/>
    <w:rsid w:val="007C2398"/>
    <w:rsid w:val="007C4475"/>
    <w:rsid w:val="007D704C"/>
    <w:rsid w:val="007E1B06"/>
    <w:rsid w:val="007E238F"/>
    <w:rsid w:val="007E5BC4"/>
    <w:rsid w:val="007F5C50"/>
    <w:rsid w:val="008125D8"/>
    <w:rsid w:val="00812C58"/>
    <w:rsid w:val="00813593"/>
    <w:rsid w:val="008143CD"/>
    <w:rsid w:val="00816E14"/>
    <w:rsid w:val="0082364F"/>
    <w:rsid w:val="00831ABB"/>
    <w:rsid w:val="00833972"/>
    <w:rsid w:val="008353F7"/>
    <w:rsid w:val="00836B80"/>
    <w:rsid w:val="00842FF3"/>
    <w:rsid w:val="00852F44"/>
    <w:rsid w:val="0086504D"/>
    <w:rsid w:val="00873A66"/>
    <w:rsid w:val="008743E1"/>
    <w:rsid w:val="00876057"/>
    <w:rsid w:val="00880030"/>
    <w:rsid w:val="008869BB"/>
    <w:rsid w:val="00893082"/>
    <w:rsid w:val="00896C6F"/>
    <w:rsid w:val="008C48BA"/>
    <w:rsid w:val="008C7085"/>
    <w:rsid w:val="008C78B4"/>
    <w:rsid w:val="008D63F9"/>
    <w:rsid w:val="008D7F5B"/>
    <w:rsid w:val="008F1585"/>
    <w:rsid w:val="008F4026"/>
    <w:rsid w:val="008F5E1F"/>
    <w:rsid w:val="00900C64"/>
    <w:rsid w:val="009062D0"/>
    <w:rsid w:val="00907157"/>
    <w:rsid w:val="00913C0F"/>
    <w:rsid w:val="009177A5"/>
    <w:rsid w:val="00923327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73B73"/>
    <w:rsid w:val="00982517"/>
    <w:rsid w:val="00983238"/>
    <w:rsid w:val="00990790"/>
    <w:rsid w:val="009972FA"/>
    <w:rsid w:val="009A4E07"/>
    <w:rsid w:val="009B23CB"/>
    <w:rsid w:val="009B27AA"/>
    <w:rsid w:val="009C1154"/>
    <w:rsid w:val="009C1D1E"/>
    <w:rsid w:val="009D36E7"/>
    <w:rsid w:val="009E0671"/>
    <w:rsid w:val="009E2399"/>
    <w:rsid w:val="009F7379"/>
    <w:rsid w:val="00A02A2D"/>
    <w:rsid w:val="00A12C52"/>
    <w:rsid w:val="00A14408"/>
    <w:rsid w:val="00A206D0"/>
    <w:rsid w:val="00A3337B"/>
    <w:rsid w:val="00A33848"/>
    <w:rsid w:val="00A4686D"/>
    <w:rsid w:val="00A603D8"/>
    <w:rsid w:val="00A6681C"/>
    <w:rsid w:val="00A70759"/>
    <w:rsid w:val="00A74397"/>
    <w:rsid w:val="00A761AF"/>
    <w:rsid w:val="00A81EEC"/>
    <w:rsid w:val="00A96089"/>
    <w:rsid w:val="00AA02F8"/>
    <w:rsid w:val="00AA7E70"/>
    <w:rsid w:val="00AB1CBA"/>
    <w:rsid w:val="00AB2BE1"/>
    <w:rsid w:val="00AB4C64"/>
    <w:rsid w:val="00AB4CE0"/>
    <w:rsid w:val="00AB553A"/>
    <w:rsid w:val="00AD1AC8"/>
    <w:rsid w:val="00AE060D"/>
    <w:rsid w:val="00AE298E"/>
    <w:rsid w:val="00AF5CC5"/>
    <w:rsid w:val="00B0059F"/>
    <w:rsid w:val="00B15BF9"/>
    <w:rsid w:val="00B228D3"/>
    <w:rsid w:val="00B240BA"/>
    <w:rsid w:val="00B241D5"/>
    <w:rsid w:val="00B340C5"/>
    <w:rsid w:val="00B4315B"/>
    <w:rsid w:val="00B43C47"/>
    <w:rsid w:val="00B445A4"/>
    <w:rsid w:val="00B520BA"/>
    <w:rsid w:val="00B55DE5"/>
    <w:rsid w:val="00B73A1E"/>
    <w:rsid w:val="00B75EC3"/>
    <w:rsid w:val="00B77155"/>
    <w:rsid w:val="00B801AF"/>
    <w:rsid w:val="00B80476"/>
    <w:rsid w:val="00BA0EFB"/>
    <w:rsid w:val="00BA20BE"/>
    <w:rsid w:val="00BC79C2"/>
    <w:rsid w:val="00BD5D31"/>
    <w:rsid w:val="00BF1F70"/>
    <w:rsid w:val="00BF4694"/>
    <w:rsid w:val="00BF4F89"/>
    <w:rsid w:val="00BF582E"/>
    <w:rsid w:val="00C1639A"/>
    <w:rsid w:val="00C1649F"/>
    <w:rsid w:val="00C2716F"/>
    <w:rsid w:val="00C2721F"/>
    <w:rsid w:val="00C37A1B"/>
    <w:rsid w:val="00C431BE"/>
    <w:rsid w:val="00C46751"/>
    <w:rsid w:val="00C46E81"/>
    <w:rsid w:val="00C47F50"/>
    <w:rsid w:val="00C5182B"/>
    <w:rsid w:val="00C546A8"/>
    <w:rsid w:val="00C5660D"/>
    <w:rsid w:val="00C617CE"/>
    <w:rsid w:val="00C6790D"/>
    <w:rsid w:val="00C81023"/>
    <w:rsid w:val="00C93AC6"/>
    <w:rsid w:val="00CA243A"/>
    <w:rsid w:val="00CB6253"/>
    <w:rsid w:val="00CB751D"/>
    <w:rsid w:val="00CC00BD"/>
    <w:rsid w:val="00CC01E7"/>
    <w:rsid w:val="00CC73F5"/>
    <w:rsid w:val="00CD5AB3"/>
    <w:rsid w:val="00CE10F8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5635A"/>
    <w:rsid w:val="00D6268F"/>
    <w:rsid w:val="00D6408E"/>
    <w:rsid w:val="00D646C0"/>
    <w:rsid w:val="00D64BDA"/>
    <w:rsid w:val="00D740B1"/>
    <w:rsid w:val="00D8048C"/>
    <w:rsid w:val="00D87CC2"/>
    <w:rsid w:val="00D92470"/>
    <w:rsid w:val="00DA1383"/>
    <w:rsid w:val="00DA74A2"/>
    <w:rsid w:val="00DB56A2"/>
    <w:rsid w:val="00DC0E1D"/>
    <w:rsid w:val="00DC23D4"/>
    <w:rsid w:val="00DC2851"/>
    <w:rsid w:val="00DC7120"/>
    <w:rsid w:val="00DD412A"/>
    <w:rsid w:val="00DF1B9B"/>
    <w:rsid w:val="00DF1F60"/>
    <w:rsid w:val="00E12CF3"/>
    <w:rsid w:val="00E25574"/>
    <w:rsid w:val="00E317C8"/>
    <w:rsid w:val="00E34C99"/>
    <w:rsid w:val="00E36DA5"/>
    <w:rsid w:val="00E465C0"/>
    <w:rsid w:val="00E5091B"/>
    <w:rsid w:val="00E52110"/>
    <w:rsid w:val="00E5213B"/>
    <w:rsid w:val="00E523AA"/>
    <w:rsid w:val="00E53DCB"/>
    <w:rsid w:val="00E64966"/>
    <w:rsid w:val="00E65329"/>
    <w:rsid w:val="00E71A1A"/>
    <w:rsid w:val="00E85053"/>
    <w:rsid w:val="00E91AA4"/>
    <w:rsid w:val="00E9449A"/>
    <w:rsid w:val="00E960B0"/>
    <w:rsid w:val="00E96D3A"/>
    <w:rsid w:val="00EB2AC9"/>
    <w:rsid w:val="00EB4101"/>
    <w:rsid w:val="00EB7A47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3606"/>
    <w:rsid w:val="00F06C5C"/>
    <w:rsid w:val="00F10549"/>
    <w:rsid w:val="00F10B2B"/>
    <w:rsid w:val="00F11F98"/>
    <w:rsid w:val="00F32056"/>
    <w:rsid w:val="00F3592A"/>
    <w:rsid w:val="00F51A48"/>
    <w:rsid w:val="00F53C01"/>
    <w:rsid w:val="00F56778"/>
    <w:rsid w:val="00F6148F"/>
    <w:rsid w:val="00F6291E"/>
    <w:rsid w:val="00F645EE"/>
    <w:rsid w:val="00F660AB"/>
    <w:rsid w:val="00F76190"/>
    <w:rsid w:val="00F8357F"/>
    <w:rsid w:val="00F910FB"/>
    <w:rsid w:val="00F92094"/>
    <w:rsid w:val="00FA0E83"/>
    <w:rsid w:val="00FB43BF"/>
    <w:rsid w:val="00FC65AC"/>
    <w:rsid w:val="00FD2D4A"/>
    <w:rsid w:val="00FE1813"/>
    <w:rsid w:val="00FE6B9D"/>
    <w:rsid w:val="00FF2EB8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H">
    <w:name w:val="TAH"/>
    <w:basedOn w:val="TAC"/>
    <w:link w:val="TAHCar"/>
    <w:qFormat/>
    <w:rsid w:val="00E53DCB"/>
    <w:rPr>
      <w:b/>
    </w:rPr>
  </w:style>
  <w:style w:type="paragraph" w:customStyle="1" w:styleId="TAC">
    <w:name w:val="TAC"/>
    <w:basedOn w:val="Normal"/>
    <w:link w:val="TACChar"/>
    <w:qFormat/>
    <w:rsid w:val="00E53DCB"/>
    <w:pPr>
      <w:keepNext/>
      <w:keepLines/>
      <w:jc w:val="center"/>
    </w:pPr>
    <w:rPr>
      <w:rFonts w:ascii="Arial" w:eastAsia="Malgun Gothic" w:hAnsi="Arial"/>
      <w:sz w:val="18"/>
    </w:rPr>
  </w:style>
  <w:style w:type="character" w:customStyle="1" w:styleId="TACChar">
    <w:name w:val="TAC Char"/>
    <w:link w:val="TAC"/>
    <w:qFormat/>
    <w:rsid w:val="00E53DCB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DCB"/>
    <w:rPr>
      <w:rFonts w:ascii="Arial" w:eastAsia="Malgun Gothic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qFormat/>
    <w:rsid w:val="00E53DCB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E53DCB"/>
    <w:rPr>
      <w:rFonts w:ascii="Arial" w:eastAsia="Malgun Gothic" w:hAnsi="Arial"/>
      <w:b/>
      <w:lang w:val="en-GB" w:eastAsia="en-US"/>
    </w:rPr>
  </w:style>
  <w:style w:type="paragraph" w:customStyle="1" w:styleId="TAN">
    <w:name w:val="TAN"/>
    <w:basedOn w:val="Normal"/>
    <w:link w:val="TANChar"/>
    <w:qFormat/>
    <w:rsid w:val="00E53DCB"/>
    <w:pPr>
      <w:keepNext/>
      <w:keepLines/>
      <w:ind w:left="851" w:hanging="851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rsid w:val="00E53DCB"/>
    <w:rPr>
      <w:rFonts w:ascii="Arial" w:eastAsia="Malgun Gothic" w:hAnsi="Arial"/>
      <w:sz w:val="18"/>
      <w:lang w:val="en-GB" w:eastAsia="en-US"/>
    </w:rPr>
  </w:style>
  <w:style w:type="paragraph" w:styleId="TOC4">
    <w:name w:val="toc 4"/>
    <w:basedOn w:val="TOC3"/>
    <w:uiPriority w:val="39"/>
    <w:rsid w:val="00DD412A"/>
    <w:pPr>
      <w:keepLines/>
      <w:widowControl w:val="0"/>
      <w:tabs>
        <w:tab w:val="right" w:leader="dot" w:pos="9639"/>
      </w:tabs>
      <w:ind w:left="1418" w:right="425" w:hanging="1418"/>
    </w:pPr>
    <w:rPr>
      <w:rFonts w:eastAsia="Malgun Gothic"/>
      <w:noProof/>
    </w:rPr>
  </w:style>
  <w:style w:type="paragraph" w:styleId="TOC3">
    <w:name w:val="toc 3"/>
    <w:basedOn w:val="Normal"/>
    <w:next w:val="Normal"/>
    <w:autoRedefine/>
    <w:rsid w:val="00DD412A"/>
    <w:pPr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ept.org/files/9522/Cover%20note%20on%20ERC%20REC%2074-01%20for%20public%20consultation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ept.org/files/9522/Draft%20revision%20of%20ERC%20Recommendation%2074-01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AC7FF-C283-4759-833A-832E1353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1325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Ericsson</cp:lastModifiedBy>
  <cp:revision>114</cp:revision>
  <cp:lastPrinted>2001-04-23T09:30:00Z</cp:lastPrinted>
  <dcterms:created xsi:type="dcterms:W3CDTF">2019-02-11T12:00:00Z</dcterms:created>
  <dcterms:modified xsi:type="dcterms:W3CDTF">2019-04-01T14:21:00Z</dcterms:modified>
</cp:coreProperties>
</file>